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8D3" w:rsidRPr="007C5A9F" w:rsidRDefault="008378D3" w:rsidP="008378D3">
      <w:pPr>
        <w:autoSpaceDE w:val="0"/>
        <w:autoSpaceDN w:val="0"/>
        <w:adjustRightInd w:val="0"/>
        <w:spacing w:after="0" w:line="240" w:lineRule="auto"/>
        <w:jc w:val="center"/>
        <w:rPr>
          <w:rFonts w:ascii="Drafting" w:hAnsi="Drafting" w:cs="Times New Roman"/>
          <w:b/>
          <w:bCs/>
          <w:color w:val="548DD4" w:themeColor="text2" w:themeTint="99"/>
          <w:sz w:val="48"/>
          <w:szCs w:val="24"/>
        </w:rPr>
      </w:pPr>
      <w:r w:rsidRPr="007C5A9F">
        <w:rPr>
          <w:rFonts w:ascii="Drafting" w:hAnsi="Drafting" w:cs="Times New Roman"/>
          <w:b/>
          <w:bCs/>
          <w:color w:val="548DD4" w:themeColor="text2" w:themeTint="99"/>
          <w:sz w:val="48"/>
          <w:szCs w:val="24"/>
        </w:rPr>
        <w:t>The Menu: Elements of a Balanced Literacy Program</w:t>
      </w:r>
    </w:p>
    <w:p w:rsidR="008378D3" w:rsidRPr="00BE2A2A" w:rsidRDefault="008378D3" w:rsidP="008378D3">
      <w:pPr>
        <w:autoSpaceDE w:val="0"/>
        <w:autoSpaceDN w:val="0"/>
        <w:adjustRightInd w:val="0"/>
        <w:spacing w:after="0" w:line="240" w:lineRule="auto"/>
        <w:jc w:val="center"/>
        <w:rPr>
          <w:rFonts w:cs="Times New Roman"/>
          <w:b/>
          <w:bCs/>
          <w:sz w:val="24"/>
          <w:szCs w:val="16"/>
        </w:rPr>
      </w:pPr>
      <w:r w:rsidRPr="00BE2A2A">
        <w:rPr>
          <w:rFonts w:cs="Times New Roman"/>
          <w:b/>
          <w:bCs/>
          <w:sz w:val="24"/>
          <w:szCs w:val="16"/>
        </w:rPr>
        <w:t xml:space="preserve">Alignment to 5-D Framework: Curriculum &amp; Pedagogy </w:t>
      </w:r>
    </w:p>
    <w:p w:rsidR="008378D3" w:rsidRDefault="008378D3" w:rsidP="008378D3">
      <w:pPr>
        <w:autoSpaceDE w:val="0"/>
        <w:autoSpaceDN w:val="0"/>
        <w:adjustRightInd w:val="0"/>
        <w:spacing w:after="0" w:line="240" w:lineRule="auto"/>
        <w:rPr>
          <w:rFonts w:ascii="Times New Roman" w:hAnsi="Times New Roman" w:cs="Times New Roman"/>
          <w:b/>
          <w:bCs/>
          <w:sz w:val="20"/>
          <w:szCs w:val="20"/>
        </w:rPr>
      </w:pPr>
    </w:p>
    <w:p w:rsidR="008378D3" w:rsidRPr="00BE2A2A" w:rsidRDefault="008378D3" w:rsidP="008378D3">
      <w:pPr>
        <w:autoSpaceDE w:val="0"/>
        <w:autoSpaceDN w:val="0"/>
        <w:adjustRightInd w:val="0"/>
        <w:spacing w:after="0" w:line="240" w:lineRule="auto"/>
        <w:rPr>
          <w:rFonts w:cs="Times New Roman"/>
          <w:bCs/>
          <w:sz w:val="24"/>
          <w:szCs w:val="20"/>
        </w:rPr>
      </w:pPr>
      <w:r w:rsidRPr="00BE2A2A">
        <w:rPr>
          <w:rFonts w:cs="Times New Roman"/>
          <w:bCs/>
          <w:sz w:val="24"/>
          <w:szCs w:val="20"/>
        </w:rPr>
        <w:t xml:space="preserve">The following menus are designed to be components of a readers and writers workshop model. These models allow time for whole group, small group and individualized instruction to address the standards and meet the literacy needs of all students in one classroom. </w:t>
      </w:r>
    </w:p>
    <w:p w:rsidR="008378D3" w:rsidRDefault="008378D3" w:rsidP="008378D3">
      <w:pPr>
        <w:autoSpaceDE w:val="0"/>
        <w:autoSpaceDN w:val="0"/>
        <w:adjustRightInd w:val="0"/>
        <w:spacing w:after="0" w:line="240" w:lineRule="auto"/>
        <w:rPr>
          <w:rFonts w:ascii="Times New Roman" w:hAnsi="Times New Roman" w:cs="Times New Roman"/>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9576"/>
      </w:tblGrid>
      <w:tr w:rsidR="008378D3" w:rsidRPr="00BE2A2A" w:rsidTr="00BE0239">
        <w:tc>
          <w:tcPr>
            <w:tcW w:w="9576" w:type="dxa"/>
            <w:shd w:val="clear" w:color="auto" w:fill="FDE9D9" w:themeFill="accent6" w:themeFillTint="33"/>
          </w:tcPr>
          <w:p w:rsidR="008378D3" w:rsidRDefault="008378D3" w:rsidP="00BE0239">
            <w:pPr>
              <w:autoSpaceDE w:val="0"/>
              <w:autoSpaceDN w:val="0"/>
              <w:adjustRightInd w:val="0"/>
              <w:jc w:val="center"/>
              <w:rPr>
                <w:rFonts w:cs="Times New Roman"/>
                <w:b/>
                <w:bCs/>
                <w:sz w:val="20"/>
                <w:szCs w:val="20"/>
              </w:rPr>
            </w:pPr>
          </w:p>
          <w:p w:rsidR="008378D3" w:rsidRDefault="008378D3" w:rsidP="00BE0239">
            <w:pPr>
              <w:autoSpaceDE w:val="0"/>
              <w:autoSpaceDN w:val="0"/>
              <w:adjustRightInd w:val="0"/>
              <w:jc w:val="center"/>
              <w:rPr>
                <w:rFonts w:cs="Times New Roman"/>
                <w:bCs/>
                <w:sz w:val="20"/>
                <w:szCs w:val="20"/>
              </w:rPr>
            </w:pPr>
            <w:r w:rsidRPr="00BE2A2A">
              <w:rPr>
                <w:rFonts w:cs="Times New Roman"/>
                <w:b/>
                <w:bCs/>
                <w:sz w:val="20"/>
                <w:szCs w:val="20"/>
              </w:rPr>
              <w:t>NOTE:</w:t>
            </w:r>
            <w:r w:rsidRPr="00BE2A2A">
              <w:rPr>
                <w:rFonts w:cs="Times New Roman"/>
                <w:bCs/>
                <w:sz w:val="20"/>
                <w:szCs w:val="20"/>
              </w:rPr>
              <w:t xml:space="preserve"> While the elements of the 5 Component Reading model are encompassed in these menus as indicated with a * these components are enhanced with other formats to incorporate learning designs for all five of the CCSS English language arts areas (Reading, Writing, Listening/Speaking, Language and Foundations).</w:t>
            </w:r>
          </w:p>
          <w:p w:rsidR="008378D3" w:rsidRPr="00BE2A2A" w:rsidRDefault="008378D3" w:rsidP="00BE0239">
            <w:pPr>
              <w:autoSpaceDE w:val="0"/>
              <w:autoSpaceDN w:val="0"/>
              <w:adjustRightInd w:val="0"/>
              <w:jc w:val="center"/>
              <w:rPr>
                <w:rFonts w:cs="Times New Roman"/>
                <w:bCs/>
                <w:sz w:val="20"/>
                <w:szCs w:val="20"/>
              </w:rPr>
            </w:pPr>
          </w:p>
          <w:p w:rsidR="008378D3" w:rsidRDefault="008378D3" w:rsidP="00BE0239">
            <w:pPr>
              <w:autoSpaceDE w:val="0"/>
              <w:autoSpaceDN w:val="0"/>
              <w:adjustRightInd w:val="0"/>
              <w:jc w:val="center"/>
              <w:rPr>
                <w:rFonts w:cs="Times New Roman"/>
                <w:bCs/>
                <w:sz w:val="20"/>
                <w:szCs w:val="20"/>
              </w:rPr>
            </w:pPr>
            <w:r w:rsidRPr="00BE2A2A">
              <w:rPr>
                <w:rFonts w:cs="Times New Roman"/>
                <w:bCs/>
                <w:sz w:val="20"/>
                <w:szCs w:val="20"/>
              </w:rPr>
              <w:t>The page numbers following each menu item refer to the detailed descriptions following this section.</w:t>
            </w:r>
          </w:p>
          <w:p w:rsidR="008378D3" w:rsidRPr="00BE2A2A" w:rsidRDefault="008378D3" w:rsidP="00BE0239">
            <w:pPr>
              <w:autoSpaceDE w:val="0"/>
              <w:autoSpaceDN w:val="0"/>
              <w:adjustRightInd w:val="0"/>
              <w:jc w:val="center"/>
              <w:rPr>
                <w:rFonts w:ascii="Times New Roman" w:hAnsi="Times New Roman" w:cs="Times New Roman"/>
                <w:b/>
                <w:bCs/>
                <w:i/>
                <w:sz w:val="20"/>
                <w:szCs w:val="20"/>
              </w:rPr>
            </w:pPr>
          </w:p>
        </w:tc>
      </w:tr>
    </w:tbl>
    <w:p w:rsidR="008378D3" w:rsidRDefault="008378D3" w:rsidP="008378D3">
      <w:pPr>
        <w:pStyle w:val="NoSpacing"/>
        <w:rPr>
          <w:rFonts w:ascii="Times New Roman" w:hAnsi="Times New Roman" w:cs="Times New Roman"/>
          <w:b/>
          <w:sz w:val="24"/>
          <w:szCs w:val="24"/>
          <w:u w:val="single"/>
        </w:rPr>
      </w:pPr>
    </w:p>
    <w:p w:rsidR="008378D3" w:rsidRPr="004C35C5" w:rsidRDefault="008378D3" w:rsidP="008378D3">
      <w:pPr>
        <w:pStyle w:val="NoSpacing"/>
        <w:jc w:val="center"/>
        <w:rPr>
          <w:rFonts w:cs="Times New Roman"/>
          <w:b/>
          <w:sz w:val="32"/>
          <w:szCs w:val="24"/>
        </w:rPr>
      </w:pPr>
      <w:r w:rsidRPr="004C35C5">
        <w:rPr>
          <w:rFonts w:cs="Times New Roman"/>
          <w:b/>
          <w:sz w:val="32"/>
          <w:szCs w:val="24"/>
        </w:rPr>
        <w:t>Menu 1: Whole Group Reading</w:t>
      </w:r>
    </w:p>
    <w:p w:rsidR="008378D3" w:rsidRPr="009170D2" w:rsidRDefault="008378D3" w:rsidP="008378D3">
      <w:pPr>
        <w:pStyle w:val="NoSpacing"/>
        <w:jc w:val="center"/>
        <w:rPr>
          <w:rFonts w:ascii="Times New Roman" w:hAnsi="Times New Roman" w:cs="Times New Roman"/>
          <w:b/>
          <w:sz w:val="24"/>
          <w:szCs w:val="24"/>
        </w:rPr>
      </w:pPr>
    </w:p>
    <w:tbl>
      <w:tblPr>
        <w:tblStyle w:val="TableGrid"/>
        <w:tblW w:w="10433" w:type="dxa"/>
        <w:tblInd w:w="-522"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3258"/>
        <w:gridCol w:w="3588"/>
        <w:gridCol w:w="3587"/>
      </w:tblGrid>
      <w:tr w:rsidR="008378D3" w:rsidRPr="00BE2A2A" w:rsidTr="00BE0239">
        <w:tc>
          <w:tcPr>
            <w:tcW w:w="3258" w:type="dxa"/>
            <w:shd w:val="clear" w:color="auto" w:fill="95B3D7" w:themeFill="accent1" w:themeFillTint="99"/>
            <w:vAlign w:val="center"/>
          </w:tcPr>
          <w:p w:rsidR="008378D3" w:rsidRPr="00BE2A2A" w:rsidRDefault="008378D3" w:rsidP="00BE0239">
            <w:pPr>
              <w:pStyle w:val="ListParagraph"/>
              <w:spacing w:before="120"/>
              <w:ind w:left="0"/>
              <w:jc w:val="center"/>
              <w:rPr>
                <w:rFonts w:cs="Times New Roman"/>
                <w:sz w:val="24"/>
                <w:szCs w:val="24"/>
              </w:rPr>
            </w:pPr>
            <w:r w:rsidRPr="00BE2A2A">
              <w:rPr>
                <w:rFonts w:cs="Times New Roman"/>
                <w:sz w:val="24"/>
                <w:szCs w:val="24"/>
              </w:rPr>
              <w:t>*Shared Reading</w:t>
            </w:r>
            <w:r>
              <w:rPr>
                <w:rFonts w:cs="Times New Roman"/>
                <w:sz w:val="24"/>
                <w:szCs w:val="24"/>
              </w:rPr>
              <w:t xml:space="preserve"> (pg.32)</w:t>
            </w:r>
          </w:p>
        </w:tc>
        <w:tc>
          <w:tcPr>
            <w:tcW w:w="3588" w:type="dxa"/>
            <w:shd w:val="clear" w:color="auto" w:fill="FDE9D9" w:themeFill="accent6" w:themeFillTint="33"/>
            <w:vAlign w:val="center"/>
          </w:tcPr>
          <w:p w:rsidR="008378D3" w:rsidRPr="00BE2A2A" w:rsidRDefault="008378D3" w:rsidP="00BE0239">
            <w:pPr>
              <w:pStyle w:val="ListParagraph"/>
              <w:spacing w:before="120"/>
              <w:ind w:left="0"/>
              <w:jc w:val="center"/>
              <w:rPr>
                <w:rFonts w:cs="Times New Roman"/>
                <w:sz w:val="24"/>
                <w:szCs w:val="24"/>
              </w:rPr>
            </w:pPr>
            <w:r w:rsidRPr="00BE2A2A">
              <w:rPr>
                <w:rFonts w:cs="Times New Roman"/>
                <w:sz w:val="24"/>
                <w:szCs w:val="24"/>
              </w:rPr>
              <w:t>Think Aloud</w:t>
            </w:r>
            <w:r>
              <w:rPr>
                <w:rFonts w:cs="Times New Roman"/>
                <w:sz w:val="24"/>
                <w:szCs w:val="24"/>
              </w:rPr>
              <w:t xml:space="preserve"> (pg.31)</w:t>
            </w:r>
          </w:p>
        </w:tc>
        <w:tc>
          <w:tcPr>
            <w:tcW w:w="3587" w:type="dxa"/>
            <w:shd w:val="clear" w:color="auto" w:fill="CCC0D9" w:themeFill="accent4" w:themeFillTint="66"/>
            <w:vAlign w:val="center"/>
          </w:tcPr>
          <w:p w:rsidR="008378D3" w:rsidRPr="00BE2A2A" w:rsidRDefault="008378D3" w:rsidP="00BE0239">
            <w:pPr>
              <w:pStyle w:val="ListParagraph"/>
              <w:spacing w:before="120"/>
              <w:ind w:left="0"/>
              <w:jc w:val="center"/>
              <w:rPr>
                <w:rFonts w:cs="Times New Roman"/>
                <w:sz w:val="24"/>
                <w:szCs w:val="24"/>
              </w:rPr>
            </w:pPr>
            <w:r w:rsidRPr="00BE2A2A">
              <w:rPr>
                <w:rFonts w:cs="Times New Roman"/>
                <w:sz w:val="24"/>
                <w:szCs w:val="24"/>
              </w:rPr>
              <w:t>Share circle/debrief</w:t>
            </w:r>
            <w:r>
              <w:rPr>
                <w:rFonts w:cs="Times New Roman"/>
                <w:sz w:val="24"/>
                <w:szCs w:val="24"/>
              </w:rPr>
              <w:t xml:space="preserve"> (pg.36)</w:t>
            </w:r>
          </w:p>
        </w:tc>
      </w:tr>
      <w:tr w:rsidR="008378D3" w:rsidRPr="00BE2A2A" w:rsidTr="00BE0239">
        <w:tc>
          <w:tcPr>
            <w:tcW w:w="3258" w:type="dxa"/>
            <w:shd w:val="clear" w:color="auto" w:fill="95B3D7" w:themeFill="accent1" w:themeFillTint="99"/>
            <w:vAlign w:val="center"/>
          </w:tcPr>
          <w:p w:rsidR="008378D3" w:rsidRPr="00BE2A2A" w:rsidRDefault="008378D3" w:rsidP="00BE0239">
            <w:pPr>
              <w:pStyle w:val="ListParagraph"/>
              <w:spacing w:before="120"/>
              <w:ind w:left="0"/>
              <w:jc w:val="center"/>
              <w:rPr>
                <w:rFonts w:cs="Times New Roman"/>
                <w:sz w:val="24"/>
                <w:szCs w:val="24"/>
              </w:rPr>
            </w:pPr>
            <w:r w:rsidRPr="00BE2A2A">
              <w:rPr>
                <w:rFonts w:cs="Times New Roman"/>
                <w:sz w:val="24"/>
                <w:szCs w:val="24"/>
              </w:rPr>
              <w:t>*Read Aloud</w:t>
            </w:r>
            <w:r>
              <w:rPr>
                <w:rFonts w:cs="Times New Roman"/>
                <w:sz w:val="24"/>
                <w:szCs w:val="24"/>
              </w:rPr>
              <w:t xml:space="preserve"> (pg.30)</w:t>
            </w:r>
          </w:p>
        </w:tc>
        <w:tc>
          <w:tcPr>
            <w:tcW w:w="3588" w:type="dxa"/>
            <w:shd w:val="clear" w:color="auto" w:fill="FDE9D9" w:themeFill="accent6" w:themeFillTint="33"/>
            <w:vAlign w:val="center"/>
          </w:tcPr>
          <w:p w:rsidR="008378D3" w:rsidRPr="00BE2A2A" w:rsidRDefault="008378D3" w:rsidP="00BE0239">
            <w:pPr>
              <w:pStyle w:val="ListParagraph"/>
              <w:spacing w:before="120"/>
              <w:ind w:left="0"/>
              <w:jc w:val="center"/>
              <w:rPr>
                <w:rFonts w:cs="Times New Roman"/>
                <w:sz w:val="24"/>
                <w:szCs w:val="24"/>
              </w:rPr>
            </w:pPr>
            <w:r w:rsidRPr="00BE2A2A">
              <w:rPr>
                <w:rFonts w:cs="Times New Roman"/>
                <w:sz w:val="24"/>
                <w:szCs w:val="24"/>
              </w:rPr>
              <w:t>Close Reading Experience</w:t>
            </w:r>
            <w:r>
              <w:rPr>
                <w:rFonts w:cs="Times New Roman"/>
                <w:sz w:val="24"/>
                <w:szCs w:val="24"/>
              </w:rPr>
              <w:t xml:space="preserve"> (pg.34)</w:t>
            </w:r>
          </w:p>
          <w:p w:rsidR="008378D3" w:rsidRPr="00BE2A2A" w:rsidRDefault="008378D3" w:rsidP="00BE0239">
            <w:pPr>
              <w:pStyle w:val="ListParagraph"/>
              <w:spacing w:before="120"/>
              <w:ind w:left="0"/>
              <w:jc w:val="center"/>
              <w:rPr>
                <w:rFonts w:cs="Times New Roman"/>
                <w:sz w:val="24"/>
                <w:szCs w:val="24"/>
              </w:rPr>
            </w:pPr>
            <w:r w:rsidRPr="00BE2A2A">
              <w:rPr>
                <w:rFonts w:cs="Times New Roman"/>
                <w:sz w:val="24"/>
                <w:szCs w:val="24"/>
              </w:rPr>
              <w:t>(Whole Group Guided Reading )</w:t>
            </w:r>
          </w:p>
        </w:tc>
        <w:tc>
          <w:tcPr>
            <w:tcW w:w="3587" w:type="dxa"/>
            <w:shd w:val="clear" w:color="auto" w:fill="CCC0D9" w:themeFill="accent4" w:themeFillTint="66"/>
            <w:vAlign w:val="center"/>
          </w:tcPr>
          <w:p w:rsidR="008378D3" w:rsidRPr="00BE2A2A" w:rsidRDefault="008378D3" w:rsidP="00BE0239">
            <w:pPr>
              <w:pStyle w:val="ListParagraph"/>
              <w:spacing w:before="120"/>
              <w:ind w:left="0"/>
              <w:jc w:val="center"/>
              <w:rPr>
                <w:rFonts w:cs="Times New Roman"/>
                <w:sz w:val="24"/>
                <w:szCs w:val="24"/>
              </w:rPr>
            </w:pPr>
          </w:p>
        </w:tc>
      </w:tr>
      <w:tr w:rsidR="008378D3" w:rsidRPr="00BE2A2A" w:rsidTr="00BE0239">
        <w:tc>
          <w:tcPr>
            <w:tcW w:w="3258" w:type="dxa"/>
            <w:shd w:val="clear" w:color="auto" w:fill="95B3D7" w:themeFill="accent1" w:themeFillTint="99"/>
          </w:tcPr>
          <w:p w:rsidR="008378D3" w:rsidRPr="00BE2A2A" w:rsidRDefault="008378D3" w:rsidP="00BE0239">
            <w:pPr>
              <w:pStyle w:val="ListParagraph"/>
              <w:spacing w:before="120"/>
              <w:ind w:left="0"/>
              <w:jc w:val="center"/>
              <w:rPr>
                <w:rFonts w:cs="Times New Roman"/>
                <w:sz w:val="24"/>
                <w:szCs w:val="24"/>
              </w:rPr>
            </w:pPr>
            <w:r w:rsidRPr="00BE2A2A">
              <w:rPr>
                <w:rFonts w:cs="Times New Roman"/>
                <w:sz w:val="24"/>
                <w:szCs w:val="24"/>
              </w:rPr>
              <w:t>Interactive Read Aloud</w:t>
            </w:r>
            <w:r>
              <w:rPr>
                <w:rFonts w:cs="Times New Roman"/>
                <w:sz w:val="24"/>
                <w:szCs w:val="24"/>
              </w:rPr>
              <w:t xml:space="preserve"> (pg.33)</w:t>
            </w:r>
          </w:p>
        </w:tc>
        <w:tc>
          <w:tcPr>
            <w:tcW w:w="3588" w:type="dxa"/>
            <w:shd w:val="clear" w:color="auto" w:fill="FDE9D9" w:themeFill="accent6" w:themeFillTint="33"/>
            <w:vAlign w:val="center"/>
          </w:tcPr>
          <w:p w:rsidR="008378D3" w:rsidRPr="00BE2A2A" w:rsidRDefault="008378D3" w:rsidP="00BE0239">
            <w:pPr>
              <w:pStyle w:val="ListParagraph"/>
              <w:spacing w:before="120"/>
              <w:ind w:left="0"/>
              <w:jc w:val="center"/>
              <w:rPr>
                <w:rFonts w:cs="Times New Roman"/>
                <w:sz w:val="24"/>
                <w:szCs w:val="24"/>
              </w:rPr>
            </w:pPr>
            <w:r w:rsidRPr="00BE2A2A">
              <w:rPr>
                <w:rFonts w:cs="Times New Roman"/>
                <w:sz w:val="24"/>
                <w:szCs w:val="24"/>
              </w:rPr>
              <w:t>Socratic Seminar</w:t>
            </w:r>
            <w:r>
              <w:rPr>
                <w:rFonts w:cs="Times New Roman"/>
                <w:sz w:val="24"/>
                <w:szCs w:val="24"/>
              </w:rPr>
              <w:t xml:space="preserve"> (pg.35)</w:t>
            </w:r>
          </w:p>
        </w:tc>
        <w:tc>
          <w:tcPr>
            <w:tcW w:w="3587" w:type="dxa"/>
            <w:shd w:val="clear" w:color="auto" w:fill="CCC0D9" w:themeFill="accent4" w:themeFillTint="66"/>
            <w:vAlign w:val="center"/>
          </w:tcPr>
          <w:p w:rsidR="008378D3" w:rsidRPr="00BE2A2A" w:rsidRDefault="008378D3" w:rsidP="00BE0239">
            <w:pPr>
              <w:pStyle w:val="ListParagraph"/>
              <w:spacing w:before="120"/>
              <w:ind w:left="0"/>
              <w:jc w:val="center"/>
              <w:rPr>
                <w:rFonts w:cs="Times New Roman"/>
                <w:sz w:val="24"/>
                <w:szCs w:val="24"/>
              </w:rPr>
            </w:pPr>
            <w:r>
              <w:rPr>
                <w:rFonts w:cs="Times New Roman"/>
                <w:sz w:val="24"/>
                <w:szCs w:val="24"/>
              </w:rPr>
              <w:t xml:space="preserve">Letter/Sound/Word </w:t>
            </w:r>
            <w:r w:rsidRPr="00BE2A2A">
              <w:rPr>
                <w:rFonts w:cs="Times New Roman"/>
                <w:sz w:val="24"/>
                <w:szCs w:val="24"/>
              </w:rPr>
              <w:t>Work</w:t>
            </w:r>
            <w:r>
              <w:rPr>
                <w:rFonts w:cs="Times New Roman"/>
                <w:sz w:val="24"/>
                <w:szCs w:val="24"/>
              </w:rPr>
              <w:t xml:space="preserve"> (pg. 44)</w:t>
            </w:r>
          </w:p>
        </w:tc>
      </w:tr>
    </w:tbl>
    <w:p w:rsidR="008378D3" w:rsidRDefault="008378D3" w:rsidP="008378D3">
      <w:pPr>
        <w:spacing w:after="0" w:line="240" w:lineRule="auto"/>
        <w:rPr>
          <w:rFonts w:ascii="Times New Roman" w:hAnsi="Times New Roman" w:cs="Times New Roman"/>
          <w:sz w:val="24"/>
          <w:szCs w:val="24"/>
          <w:u w:val="single"/>
        </w:rPr>
      </w:pPr>
    </w:p>
    <w:p w:rsidR="008378D3" w:rsidRPr="004C35C5" w:rsidRDefault="008378D3" w:rsidP="008378D3">
      <w:pPr>
        <w:spacing w:after="0" w:line="240" w:lineRule="auto"/>
        <w:rPr>
          <w:rFonts w:cs="Times New Roman"/>
          <w:b/>
          <w:sz w:val="24"/>
          <w:szCs w:val="24"/>
        </w:rPr>
      </w:pPr>
      <w:r w:rsidRPr="004C35C5">
        <w:rPr>
          <w:rFonts w:cs="Times New Roman"/>
          <w:b/>
          <w:sz w:val="24"/>
          <w:szCs w:val="24"/>
        </w:rPr>
        <w:t>Key attributes of Whole Group Reading</w:t>
      </w:r>
    </w:p>
    <w:p w:rsidR="008378D3" w:rsidRPr="004C35C5" w:rsidRDefault="008378D3" w:rsidP="008378D3">
      <w:pPr>
        <w:numPr>
          <w:ilvl w:val="0"/>
          <w:numId w:val="1"/>
        </w:numPr>
        <w:spacing w:after="0" w:line="240" w:lineRule="auto"/>
        <w:rPr>
          <w:rFonts w:cs="Times New Roman"/>
          <w:sz w:val="24"/>
          <w:szCs w:val="24"/>
        </w:rPr>
      </w:pPr>
      <w:r w:rsidRPr="004C35C5">
        <w:rPr>
          <w:rFonts w:cs="Times New Roman"/>
          <w:sz w:val="24"/>
          <w:szCs w:val="24"/>
        </w:rPr>
        <w:t>Aligned to priority standards, developing critical reading behaviors or skills/strategies that the majority of the class needs support with. The standard or objective for the lesson is clearly stated or posted</w:t>
      </w:r>
    </w:p>
    <w:p w:rsidR="008378D3" w:rsidRPr="004C35C5" w:rsidRDefault="008378D3" w:rsidP="008378D3">
      <w:pPr>
        <w:numPr>
          <w:ilvl w:val="0"/>
          <w:numId w:val="1"/>
        </w:numPr>
        <w:spacing w:after="0" w:line="240" w:lineRule="auto"/>
        <w:rPr>
          <w:rFonts w:cs="Times New Roman"/>
          <w:sz w:val="24"/>
          <w:szCs w:val="24"/>
        </w:rPr>
      </w:pPr>
      <w:r w:rsidRPr="004C35C5">
        <w:rPr>
          <w:rFonts w:cs="Times New Roman"/>
          <w:sz w:val="24"/>
          <w:szCs w:val="24"/>
        </w:rPr>
        <w:t>Occurs daily and can be in a Lesson format (15-45 minutes depending on the age of students) or a mini-lesson format (5-15 minutes)</w:t>
      </w:r>
    </w:p>
    <w:p w:rsidR="008378D3" w:rsidRPr="004C35C5" w:rsidRDefault="008378D3" w:rsidP="008378D3">
      <w:pPr>
        <w:numPr>
          <w:ilvl w:val="0"/>
          <w:numId w:val="1"/>
        </w:numPr>
        <w:spacing w:after="0" w:line="240" w:lineRule="auto"/>
        <w:rPr>
          <w:rFonts w:cs="Times New Roman"/>
          <w:sz w:val="24"/>
          <w:szCs w:val="24"/>
        </w:rPr>
      </w:pPr>
      <w:r w:rsidRPr="004C35C5">
        <w:rPr>
          <w:rFonts w:cs="Times New Roman"/>
          <w:sz w:val="24"/>
          <w:szCs w:val="24"/>
        </w:rPr>
        <w:t>Multiple mini-lessons may be part of a literacy block (reading, writing, vocabulary, word work, etc.)</w:t>
      </w:r>
    </w:p>
    <w:p w:rsidR="008378D3" w:rsidRPr="004C35C5" w:rsidRDefault="008378D3" w:rsidP="008378D3">
      <w:pPr>
        <w:numPr>
          <w:ilvl w:val="0"/>
          <w:numId w:val="1"/>
        </w:numPr>
        <w:spacing w:after="0" w:line="240" w:lineRule="auto"/>
        <w:rPr>
          <w:rFonts w:cs="Times New Roman"/>
          <w:sz w:val="24"/>
          <w:szCs w:val="24"/>
        </w:rPr>
      </w:pPr>
      <w:r w:rsidRPr="004C35C5">
        <w:rPr>
          <w:rFonts w:cs="Times New Roman"/>
          <w:sz w:val="24"/>
          <w:szCs w:val="24"/>
        </w:rPr>
        <w:t>Skills and strategies are taught/reviewed connected to a text whenever possible ensuring the transfer of skills to application in text</w:t>
      </w:r>
    </w:p>
    <w:p w:rsidR="008378D3" w:rsidRPr="004C35C5" w:rsidRDefault="008378D3" w:rsidP="008378D3">
      <w:pPr>
        <w:numPr>
          <w:ilvl w:val="0"/>
          <w:numId w:val="1"/>
        </w:numPr>
        <w:spacing w:after="0" w:line="240" w:lineRule="auto"/>
        <w:rPr>
          <w:rFonts w:cs="Times New Roman"/>
          <w:sz w:val="24"/>
          <w:szCs w:val="24"/>
        </w:rPr>
      </w:pPr>
      <w:r w:rsidRPr="004C35C5">
        <w:rPr>
          <w:rFonts w:cs="Times New Roman"/>
          <w:sz w:val="24"/>
          <w:szCs w:val="24"/>
        </w:rPr>
        <w:t>Texts are chosen that are high quality, high interest, and of appropriate grade level complexity (Qualitative and quantitative aspects as well as reader and task must be considered.) They may be aligned to Social Studies or Science content.</w:t>
      </w:r>
    </w:p>
    <w:p w:rsidR="008378D3" w:rsidRPr="004C35C5" w:rsidRDefault="008378D3" w:rsidP="008378D3">
      <w:pPr>
        <w:numPr>
          <w:ilvl w:val="0"/>
          <w:numId w:val="1"/>
        </w:numPr>
        <w:spacing w:after="0" w:line="240" w:lineRule="auto"/>
        <w:rPr>
          <w:rFonts w:cs="Times New Roman"/>
          <w:sz w:val="24"/>
          <w:szCs w:val="24"/>
        </w:rPr>
      </w:pPr>
      <w:r w:rsidRPr="004C35C5">
        <w:rPr>
          <w:rFonts w:cs="Times New Roman"/>
          <w:sz w:val="24"/>
          <w:szCs w:val="24"/>
        </w:rPr>
        <w:t xml:space="preserve">There is a balance of 50% narrative and 50% informational text used. Text range from very short (used for example in close reading) to longer pieces aligned to the instructional objective </w:t>
      </w:r>
    </w:p>
    <w:p w:rsidR="008378D3" w:rsidRPr="004C35C5" w:rsidRDefault="008378D3" w:rsidP="008378D3">
      <w:pPr>
        <w:numPr>
          <w:ilvl w:val="0"/>
          <w:numId w:val="1"/>
        </w:numPr>
        <w:spacing w:after="0" w:line="240" w:lineRule="auto"/>
        <w:rPr>
          <w:rFonts w:cs="Times New Roman"/>
          <w:sz w:val="24"/>
          <w:szCs w:val="24"/>
        </w:rPr>
      </w:pPr>
      <w:r w:rsidRPr="004C35C5">
        <w:rPr>
          <w:rFonts w:cs="Times New Roman"/>
          <w:sz w:val="24"/>
          <w:szCs w:val="24"/>
        </w:rPr>
        <w:t xml:space="preserve">Vocabulary is developed using a variety of meaningful strategies (For example using   </w:t>
      </w:r>
      <w:proofErr w:type="spellStart"/>
      <w:r w:rsidRPr="004C35C5">
        <w:rPr>
          <w:rFonts w:cs="Times New Roman"/>
          <w:sz w:val="24"/>
          <w:szCs w:val="24"/>
        </w:rPr>
        <w:t>Marzano’s</w:t>
      </w:r>
      <w:proofErr w:type="spellEnd"/>
      <w:r w:rsidRPr="004C35C5">
        <w:rPr>
          <w:rFonts w:cs="Times New Roman"/>
          <w:sz w:val="24"/>
          <w:szCs w:val="24"/>
        </w:rPr>
        <w:t xml:space="preserve"> 6 step process for teaching new terms, or choosing other appropriate </w:t>
      </w:r>
      <w:r w:rsidRPr="004C35C5">
        <w:rPr>
          <w:rFonts w:cs="Times New Roman"/>
          <w:sz w:val="24"/>
          <w:szCs w:val="24"/>
        </w:rPr>
        <w:lastRenderedPageBreak/>
        <w:t xml:space="preserve">methods for teaching vocab. such as demonstration, dramatization, illustration, </w:t>
      </w:r>
      <w:proofErr w:type="spellStart"/>
      <w:r w:rsidRPr="004C35C5">
        <w:rPr>
          <w:rFonts w:cs="Times New Roman"/>
          <w:sz w:val="24"/>
          <w:szCs w:val="24"/>
        </w:rPr>
        <w:t>Frayer</w:t>
      </w:r>
      <w:proofErr w:type="spellEnd"/>
      <w:r w:rsidRPr="004C35C5">
        <w:rPr>
          <w:rFonts w:cs="Times New Roman"/>
          <w:sz w:val="24"/>
          <w:szCs w:val="24"/>
        </w:rPr>
        <w:t xml:space="preserve"> method, etc.)</w:t>
      </w:r>
    </w:p>
    <w:p w:rsidR="008378D3" w:rsidRPr="004C35C5" w:rsidRDefault="008378D3" w:rsidP="008378D3">
      <w:pPr>
        <w:numPr>
          <w:ilvl w:val="0"/>
          <w:numId w:val="1"/>
        </w:numPr>
        <w:spacing w:after="0" w:line="240" w:lineRule="auto"/>
        <w:rPr>
          <w:rFonts w:cs="Times New Roman"/>
          <w:sz w:val="24"/>
          <w:szCs w:val="24"/>
        </w:rPr>
      </w:pPr>
      <w:r w:rsidRPr="004C35C5">
        <w:rPr>
          <w:rFonts w:cs="Times New Roman"/>
          <w:sz w:val="24"/>
          <w:szCs w:val="24"/>
        </w:rPr>
        <w:t>The teacher uses strategies to ensure all students are engaged in the experience as evidenced by student participation</w:t>
      </w:r>
    </w:p>
    <w:p w:rsidR="008378D3" w:rsidRPr="004C35C5" w:rsidRDefault="008378D3" w:rsidP="008378D3">
      <w:pPr>
        <w:numPr>
          <w:ilvl w:val="0"/>
          <w:numId w:val="1"/>
        </w:numPr>
        <w:spacing w:after="0" w:line="240" w:lineRule="auto"/>
        <w:rPr>
          <w:rFonts w:cs="Times New Roman"/>
          <w:sz w:val="24"/>
          <w:szCs w:val="24"/>
        </w:rPr>
      </w:pPr>
      <w:r w:rsidRPr="004C35C5">
        <w:rPr>
          <w:rFonts w:cs="Times New Roman"/>
          <w:sz w:val="24"/>
          <w:szCs w:val="24"/>
        </w:rPr>
        <w:t>Listening and speaking standards are addressed in every lesson as students turn and talk</w:t>
      </w:r>
      <w:r w:rsidRPr="004C35C5">
        <w:rPr>
          <w:rFonts w:cs="Times New Roman"/>
          <w:color w:val="FF0000"/>
          <w:sz w:val="24"/>
          <w:szCs w:val="24"/>
        </w:rPr>
        <w:t xml:space="preserve"> </w:t>
      </w:r>
      <w:r w:rsidRPr="004C35C5">
        <w:rPr>
          <w:rFonts w:cs="Times New Roman"/>
          <w:sz w:val="24"/>
          <w:szCs w:val="24"/>
        </w:rPr>
        <w:t xml:space="preserve">participate in discussions, and interact with the text in meaningful ways </w:t>
      </w:r>
    </w:p>
    <w:p w:rsidR="008378D3" w:rsidRPr="004C35C5" w:rsidRDefault="008378D3" w:rsidP="008378D3">
      <w:pPr>
        <w:pStyle w:val="NoSpacing"/>
        <w:numPr>
          <w:ilvl w:val="0"/>
          <w:numId w:val="4"/>
        </w:numPr>
        <w:rPr>
          <w:rFonts w:cs="Times New Roman"/>
          <w:sz w:val="24"/>
          <w:szCs w:val="24"/>
        </w:rPr>
      </w:pPr>
      <w:r w:rsidRPr="004C35C5">
        <w:rPr>
          <w:rFonts w:cs="Times New Roman"/>
          <w:sz w:val="24"/>
          <w:szCs w:val="24"/>
        </w:rPr>
        <w:t>Writing is a natural extension- Acceleration in reading happens when reading and writing experiences are paired</w:t>
      </w:r>
    </w:p>
    <w:p w:rsidR="008378D3" w:rsidRDefault="008378D3" w:rsidP="008378D3">
      <w:pPr>
        <w:numPr>
          <w:ilvl w:val="0"/>
          <w:numId w:val="1"/>
        </w:numPr>
        <w:spacing w:after="0" w:line="240" w:lineRule="auto"/>
        <w:rPr>
          <w:rFonts w:cs="Times New Roman"/>
          <w:sz w:val="24"/>
          <w:szCs w:val="24"/>
        </w:rPr>
      </w:pPr>
      <w:r w:rsidRPr="004C35C5">
        <w:rPr>
          <w:rFonts w:cs="Times New Roman"/>
          <w:sz w:val="24"/>
          <w:szCs w:val="24"/>
        </w:rPr>
        <w:t>Differentiation occurs through strategic questioning (for example tiered to match ELL language levels), partnering (for example pairing native Spanish speakers together) , and follow-up tasks (for example expecting the same skill objective with different leveled texts)</w:t>
      </w:r>
    </w:p>
    <w:p w:rsidR="008378D3" w:rsidRDefault="008378D3" w:rsidP="008378D3">
      <w:pPr>
        <w:spacing w:after="0" w:line="240" w:lineRule="auto"/>
        <w:rPr>
          <w:rFonts w:cs="Times New Roman"/>
          <w:sz w:val="24"/>
          <w:szCs w:val="24"/>
        </w:rPr>
      </w:pPr>
    </w:p>
    <w:p w:rsidR="008378D3" w:rsidRPr="004C35C5" w:rsidRDefault="008378D3" w:rsidP="008378D3">
      <w:pPr>
        <w:pStyle w:val="NoSpacing"/>
        <w:jc w:val="center"/>
        <w:rPr>
          <w:rFonts w:cs="Times New Roman"/>
          <w:b/>
          <w:sz w:val="32"/>
          <w:szCs w:val="24"/>
        </w:rPr>
      </w:pPr>
      <w:r>
        <w:rPr>
          <w:rFonts w:cs="Times New Roman"/>
          <w:b/>
          <w:sz w:val="32"/>
          <w:szCs w:val="24"/>
        </w:rPr>
        <w:t>Menu 2: Small Group Reading</w:t>
      </w:r>
    </w:p>
    <w:p w:rsidR="008378D3" w:rsidRDefault="008378D3" w:rsidP="008378D3">
      <w:pPr>
        <w:spacing w:after="0" w:line="240" w:lineRule="auto"/>
        <w:rPr>
          <w:rFonts w:ascii="Times New Roman" w:hAnsi="Times New Roman" w:cs="Times New Roman"/>
          <w:b/>
          <w:sz w:val="24"/>
          <w:szCs w:val="24"/>
          <w:u w:val="single"/>
        </w:rPr>
      </w:pPr>
    </w:p>
    <w:tbl>
      <w:tblPr>
        <w:tblStyle w:val="TableGrid"/>
        <w:tblW w:w="10654" w:type="dxa"/>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798"/>
        <w:gridCol w:w="3664"/>
        <w:gridCol w:w="3192"/>
      </w:tblGrid>
      <w:tr w:rsidR="008378D3" w:rsidRPr="001C7994" w:rsidTr="00BE0239">
        <w:trPr>
          <w:jc w:val="center"/>
        </w:trPr>
        <w:tc>
          <w:tcPr>
            <w:tcW w:w="3798" w:type="dxa"/>
            <w:tcBorders>
              <w:top w:val="single" w:sz="18" w:space="0" w:color="000000" w:themeColor="text1"/>
              <w:bottom w:val="single" w:sz="6" w:space="0" w:color="000000" w:themeColor="text1"/>
            </w:tcBorders>
            <w:shd w:val="clear" w:color="auto" w:fill="95B3D7" w:themeFill="accent1" w:themeFillTint="99"/>
            <w:vAlign w:val="center"/>
          </w:tcPr>
          <w:p w:rsidR="008378D3" w:rsidRPr="001C7994" w:rsidRDefault="008378D3" w:rsidP="00BE0239">
            <w:pPr>
              <w:jc w:val="center"/>
              <w:rPr>
                <w:rFonts w:cs="Times New Roman"/>
                <w:sz w:val="24"/>
                <w:szCs w:val="24"/>
              </w:rPr>
            </w:pPr>
            <w:r w:rsidRPr="001C7994">
              <w:rPr>
                <w:rFonts w:cs="Times New Roman"/>
                <w:sz w:val="24"/>
                <w:szCs w:val="24"/>
              </w:rPr>
              <w:t>*Guided Reading Groups (pg.37)</w:t>
            </w:r>
          </w:p>
        </w:tc>
        <w:tc>
          <w:tcPr>
            <w:tcW w:w="3664" w:type="dxa"/>
            <w:tcBorders>
              <w:top w:val="single" w:sz="18" w:space="0" w:color="000000" w:themeColor="text1"/>
              <w:bottom w:val="single" w:sz="6" w:space="0" w:color="000000" w:themeColor="text1"/>
            </w:tcBorders>
            <w:shd w:val="clear" w:color="auto" w:fill="FDE9D9" w:themeFill="accent6" w:themeFillTint="33"/>
            <w:vAlign w:val="center"/>
          </w:tcPr>
          <w:p w:rsidR="008378D3" w:rsidRPr="001C7994" w:rsidRDefault="008378D3" w:rsidP="00BE0239">
            <w:pPr>
              <w:jc w:val="center"/>
              <w:rPr>
                <w:rFonts w:cs="Times New Roman"/>
                <w:sz w:val="24"/>
                <w:szCs w:val="24"/>
              </w:rPr>
            </w:pPr>
            <w:r w:rsidRPr="001C7994">
              <w:rPr>
                <w:rFonts w:cs="Times New Roman"/>
                <w:sz w:val="24"/>
                <w:szCs w:val="24"/>
              </w:rPr>
              <w:t>Literature Circle</w:t>
            </w:r>
            <w:r>
              <w:rPr>
                <w:rFonts w:cs="Times New Roman"/>
                <w:sz w:val="24"/>
                <w:szCs w:val="24"/>
              </w:rPr>
              <w:t xml:space="preserve"> (pg.42)</w:t>
            </w:r>
          </w:p>
        </w:tc>
        <w:tc>
          <w:tcPr>
            <w:tcW w:w="3192" w:type="dxa"/>
            <w:vMerge w:val="restart"/>
            <w:tcBorders>
              <w:top w:val="single" w:sz="18" w:space="0" w:color="000000" w:themeColor="text1"/>
              <w:bottom w:val="single" w:sz="6" w:space="0" w:color="000000" w:themeColor="text1"/>
            </w:tcBorders>
            <w:shd w:val="clear" w:color="auto" w:fill="CCC0D9" w:themeFill="accent4" w:themeFillTint="66"/>
            <w:vAlign w:val="center"/>
          </w:tcPr>
          <w:p w:rsidR="008378D3" w:rsidRPr="001C7994" w:rsidRDefault="008378D3" w:rsidP="00BE0239">
            <w:pPr>
              <w:jc w:val="center"/>
              <w:rPr>
                <w:rFonts w:cs="Times New Roman"/>
                <w:sz w:val="24"/>
                <w:szCs w:val="24"/>
              </w:rPr>
            </w:pPr>
          </w:p>
        </w:tc>
      </w:tr>
      <w:tr w:rsidR="008378D3" w:rsidRPr="001C7994" w:rsidTr="00BE0239">
        <w:trPr>
          <w:jc w:val="center"/>
        </w:trPr>
        <w:tc>
          <w:tcPr>
            <w:tcW w:w="3798" w:type="dxa"/>
            <w:tcBorders>
              <w:top w:val="single" w:sz="6" w:space="0" w:color="000000" w:themeColor="text1"/>
              <w:bottom w:val="single" w:sz="6" w:space="0" w:color="000000" w:themeColor="text1"/>
            </w:tcBorders>
            <w:shd w:val="clear" w:color="auto" w:fill="95B3D7" w:themeFill="accent1" w:themeFillTint="99"/>
            <w:vAlign w:val="center"/>
          </w:tcPr>
          <w:p w:rsidR="008378D3" w:rsidRPr="001C7994" w:rsidRDefault="008378D3" w:rsidP="00BE0239">
            <w:pPr>
              <w:jc w:val="center"/>
              <w:rPr>
                <w:rFonts w:cs="Times New Roman"/>
                <w:sz w:val="24"/>
                <w:szCs w:val="24"/>
              </w:rPr>
            </w:pPr>
            <w:r w:rsidRPr="001C7994">
              <w:rPr>
                <w:rFonts w:cs="Times New Roman"/>
                <w:sz w:val="24"/>
                <w:szCs w:val="24"/>
              </w:rPr>
              <w:t>Flexible Strategy Groups</w:t>
            </w:r>
            <w:r>
              <w:rPr>
                <w:rFonts w:cs="Times New Roman"/>
                <w:sz w:val="24"/>
                <w:szCs w:val="24"/>
              </w:rPr>
              <w:t xml:space="preserve"> (pg.38)</w:t>
            </w:r>
          </w:p>
        </w:tc>
        <w:tc>
          <w:tcPr>
            <w:tcW w:w="3664" w:type="dxa"/>
            <w:tcBorders>
              <w:top w:val="single" w:sz="6" w:space="0" w:color="000000" w:themeColor="text1"/>
              <w:bottom w:val="single" w:sz="6" w:space="0" w:color="000000" w:themeColor="text1"/>
            </w:tcBorders>
            <w:shd w:val="clear" w:color="auto" w:fill="FDE9D9" w:themeFill="accent6" w:themeFillTint="33"/>
            <w:vAlign w:val="center"/>
          </w:tcPr>
          <w:p w:rsidR="008378D3" w:rsidRPr="001C7994" w:rsidRDefault="008378D3" w:rsidP="00BE0239">
            <w:pPr>
              <w:jc w:val="center"/>
              <w:rPr>
                <w:rFonts w:cs="Times New Roman"/>
                <w:sz w:val="24"/>
                <w:szCs w:val="24"/>
              </w:rPr>
            </w:pPr>
            <w:r w:rsidRPr="001C7994">
              <w:rPr>
                <w:rFonts w:cs="Times New Roman"/>
                <w:sz w:val="24"/>
                <w:szCs w:val="24"/>
              </w:rPr>
              <w:t>Reciprocal Teaching Group</w:t>
            </w:r>
            <w:r>
              <w:rPr>
                <w:rFonts w:cs="Times New Roman"/>
                <w:sz w:val="24"/>
                <w:szCs w:val="24"/>
              </w:rPr>
              <w:t xml:space="preserve"> (pg.41)</w:t>
            </w:r>
          </w:p>
        </w:tc>
        <w:tc>
          <w:tcPr>
            <w:tcW w:w="3192" w:type="dxa"/>
            <w:vMerge/>
            <w:tcBorders>
              <w:top w:val="single" w:sz="6" w:space="0" w:color="000000" w:themeColor="text1"/>
              <w:bottom w:val="single" w:sz="6" w:space="0" w:color="000000" w:themeColor="text1"/>
            </w:tcBorders>
            <w:shd w:val="clear" w:color="auto" w:fill="CCC0D9" w:themeFill="accent4" w:themeFillTint="66"/>
            <w:vAlign w:val="center"/>
          </w:tcPr>
          <w:p w:rsidR="008378D3" w:rsidRPr="001C7994" w:rsidRDefault="008378D3" w:rsidP="00BE0239">
            <w:pPr>
              <w:jc w:val="center"/>
              <w:rPr>
                <w:rFonts w:cs="Times New Roman"/>
                <w:sz w:val="24"/>
                <w:szCs w:val="24"/>
              </w:rPr>
            </w:pPr>
          </w:p>
        </w:tc>
      </w:tr>
      <w:tr w:rsidR="008378D3" w:rsidRPr="001C7994" w:rsidTr="00BE0239">
        <w:trPr>
          <w:jc w:val="center"/>
        </w:trPr>
        <w:tc>
          <w:tcPr>
            <w:tcW w:w="3798" w:type="dxa"/>
            <w:tcBorders>
              <w:top w:val="single" w:sz="6" w:space="0" w:color="000000" w:themeColor="text1"/>
              <w:bottom w:val="single" w:sz="18" w:space="0" w:color="000000" w:themeColor="text1"/>
            </w:tcBorders>
            <w:shd w:val="clear" w:color="auto" w:fill="95B3D7" w:themeFill="accent1" w:themeFillTint="99"/>
            <w:vAlign w:val="center"/>
          </w:tcPr>
          <w:p w:rsidR="008378D3" w:rsidRPr="001C7994" w:rsidRDefault="008378D3" w:rsidP="00BE0239">
            <w:pPr>
              <w:jc w:val="center"/>
              <w:rPr>
                <w:rFonts w:cs="Times New Roman"/>
                <w:sz w:val="24"/>
                <w:szCs w:val="24"/>
              </w:rPr>
            </w:pPr>
            <w:r w:rsidRPr="001C7994">
              <w:rPr>
                <w:rFonts w:cs="Times New Roman"/>
                <w:sz w:val="24"/>
                <w:szCs w:val="24"/>
              </w:rPr>
              <w:t>Topic or Genre Study Group</w:t>
            </w:r>
            <w:r>
              <w:rPr>
                <w:rFonts w:cs="Times New Roman"/>
                <w:sz w:val="24"/>
                <w:szCs w:val="24"/>
              </w:rPr>
              <w:t xml:space="preserve"> (pg.40)</w:t>
            </w:r>
          </w:p>
        </w:tc>
        <w:tc>
          <w:tcPr>
            <w:tcW w:w="3664" w:type="dxa"/>
            <w:tcBorders>
              <w:top w:val="single" w:sz="6" w:space="0" w:color="000000" w:themeColor="text1"/>
              <w:bottom w:val="single" w:sz="18" w:space="0" w:color="000000" w:themeColor="text1"/>
            </w:tcBorders>
            <w:shd w:val="clear" w:color="auto" w:fill="FDE9D9" w:themeFill="accent6" w:themeFillTint="33"/>
            <w:vAlign w:val="center"/>
          </w:tcPr>
          <w:p w:rsidR="008378D3" w:rsidRPr="001C7994" w:rsidRDefault="008378D3" w:rsidP="00BE0239">
            <w:pPr>
              <w:jc w:val="center"/>
              <w:rPr>
                <w:rFonts w:cs="Times New Roman"/>
                <w:sz w:val="24"/>
                <w:szCs w:val="24"/>
              </w:rPr>
            </w:pPr>
            <w:r w:rsidRPr="001C7994">
              <w:rPr>
                <w:rFonts w:cs="Times New Roman"/>
                <w:sz w:val="24"/>
                <w:szCs w:val="24"/>
              </w:rPr>
              <w:t>Peer Partnerships</w:t>
            </w:r>
            <w:r>
              <w:rPr>
                <w:rFonts w:cs="Times New Roman"/>
                <w:sz w:val="24"/>
                <w:szCs w:val="24"/>
              </w:rPr>
              <w:t xml:space="preserve"> (pg.43)</w:t>
            </w:r>
          </w:p>
        </w:tc>
        <w:tc>
          <w:tcPr>
            <w:tcW w:w="3192" w:type="dxa"/>
            <w:tcBorders>
              <w:top w:val="single" w:sz="6" w:space="0" w:color="000000" w:themeColor="text1"/>
              <w:bottom w:val="single" w:sz="18" w:space="0" w:color="000000" w:themeColor="text1"/>
            </w:tcBorders>
            <w:shd w:val="clear" w:color="auto" w:fill="CCC0D9" w:themeFill="accent4" w:themeFillTint="66"/>
            <w:vAlign w:val="center"/>
          </w:tcPr>
          <w:p w:rsidR="008378D3" w:rsidRPr="001C7994" w:rsidRDefault="008378D3" w:rsidP="00BE0239">
            <w:pPr>
              <w:jc w:val="center"/>
              <w:rPr>
                <w:rFonts w:cs="Times New Roman"/>
                <w:sz w:val="24"/>
                <w:szCs w:val="24"/>
              </w:rPr>
            </w:pPr>
            <w:r w:rsidRPr="001C7994">
              <w:rPr>
                <w:rFonts w:cs="Times New Roman"/>
                <w:sz w:val="24"/>
                <w:szCs w:val="24"/>
              </w:rPr>
              <w:t>Letter/Sound/Word Work Group</w:t>
            </w:r>
            <w:r>
              <w:rPr>
                <w:rFonts w:cs="Times New Roman"/>
                <w:sz w:val="24"/>
                <w:szCs w:val="24"/>
              </w:rPr>
              <w:t xml:space="preserve"> (pg.44)</w:t>
            </w:r>
          </w:p>
        </w:tc>
      </w:tr>
    </w:tbl>
    <w:p w:rsidR="008378D3" w:rsidRDefault="008378D3" w:rsidP="008378D3">
      <w:pPr>
        <w:rPr>
          <w:rFonts w:ascii="Times New Roman" w:hAnsi="Times New Roman" w:cs="Times New Roman"/>
          <w:b/>
          <w:sz w:val="24"/>
          <w:szCs w:val="24"/>
        </w:rPr>
      </w:pPr>
    </w:p>
    <w:p w:rsidR="008378D3" w:rsidRPr="001C7994" w:rsidRDefault="008378D3" w:rsidP="008378D3">
      <w:pPr>
        <w:rPr>
          <w:rFonts w:cs="Times New Roman"/>
          <w:b/>
          <w:sz w:val="24"/>
          <w:szCs w:val="24"/>
        </w:rPr>
      </w:pPr>
      <w:r w:rsidRPr="001C7994">
        <w:rPr>
          <w:rFonts w:cs="Times New Roman"/>
          <w:b/>
          <w:sz w:val="24"/>
          <w:szCs w:val="24"/>
        </w:rPr>
        <w:t>Key attributes of Small Group Reading</w:t>
      </w:r>
    </w:p>
    <w:p w:rsidR="008378D3" w:rsidRPr="001C7994" w:rsidRDefault="008378D3" w:rsidP="008378D3">
      <w:pPr>
        <w:numPr>
          <w:ilvl w:val="0"/>
          <w:numId w:val="2"/>
        </w:numPr>
        <w:spacing w:after="0" w:line="240" w:lineRule="auto"/>
        <w:rPr>
          <w:rFonts w:cs="Times New Roman"/>
          <w:sz w:val="24"/>
          <w:szCs w:val="24"/>
        </w:rPr>
      </w:pPr>
      <w:r w:rsidRPr="001C7994">
        <w:rPr>
          <w:rFonts w:cs="Times New Roman"/>
          <w:sz w:val="24"/>
          <w:szCs w:val="24"/>
        </w:rPr>
        <w:t>Students are grouped based on a similar instructional need as determined by prior assessment (formal and/or informal)</w:t>
      </w:r>
    </w:p>
    <w:p w:rsidR="008378D3" w:rsidRPr="001C7994" w:rsidRDefault="008378D3" w:rsidP="008378D3">
      <w:pPr>
        <w:numPr>
          <w:ilvl w:val="0"/>
          <w:numId w:val="2"/>
        </w:numPr>
        <w:spacing w:after="0" w:line="240" w:lineRule="auto"/>
        <w:rPr>
          <w:rFonts w:cs="Times New Roman"/>
          <w:sz w:val="24"/>
          <w:szCs w:val="24"/>
        </w:rPr>
      </w:pPr>
      <w:r w:rsidRPr="001C7994">
        <w:rPr>
          <w:rFonts w:cs="Times New Roman"/>
          <w:sz w:val="24"/>
          <w:szCs w:val="24"/>
        </w:rPr>
        <w:t>The lesson focus, skill, strategy or standard is explicitly stated or posted</w:t>
      </w:r>
    </w:p>
    <w:p w:rsidR="008378D3" w:rsidRPr="001C7994" w:rsidRDefault="008378D3" w:rsidP="008378D3">
      <w:pPr>
        <w:numPr>
          <w:ilvl w:val="0"/>
          <w:numId w:val="2"/>
        </w:numPr>
        <w:spacing w:after="0" w:line="240" w:lineRule="auto"/>
        <w:rPr>
          <w:rFonts w:cs="Times New Roman"/>
          <w:sz w:val="24"/>
          <w:szCs w:val="24"/>
        </w:rPr>
      </w:pPr>
      <w:r w:rsidRPr="001C7994">
        <w:rPr>
          <w:rFonts w:cs="Times New Roman"/>
          <w:sz w:val="24"/>
          <w:szCs w:val="24"/>
        </w:rPr>
        <w:t>Groups are small (no more than 5) and flexible</w:t>
      </w:r>
    </w:p>
    <w:p w:rsidR="008378D3" w:rsidRPr="001C7994" w:rsidRDefault="008378D3" w:rsidP="008378D3">
      <w:pPr>
        <w:numPr>
          <w:ilvl w:val="0"/>
          <w:numId w:val="2"/>
        </w:numPr>
        <w:spacing w:after="0" w:line="240" w:lineRule="auto"/>
        <w:rPr>
          <w:rFonts w:cs="Times New Roman"/>
          <w:sz w:val="24"/>
          <w:szCs w:val="24"/>
        </w:rPr>
      </w:pPr>
      <w:r w:rsidRPr="001C7994">
        <w:rPr>
          <w:rFonts w:cs="Times New Roman"/>
          <w:sz w:val="24"/>
          <w:szCs w:val="24"/>
        </w:rPr>
        <w:t>The chosen text is appropriate for the instructional level and/or has features to support the focus skills or strategies aligned to group needs and may be  aligned to Social Studies/Science  content</w:t>
      </w:r>
    </w:p>
    <w:p w:rsidR="008378D3" w:rsidRPr="001C7994" w:rsidRDefault="008378D3" w:rsidP="008378D3">
      <w:pPr>
        <w:numPr>
          <w:ilvl w:val="0"/>
          <w:numId w:val="2"/>
        </w:numPr>
        <w:spacing w:after="0" w:line="240" w:lineRule="auto"/>
        <w:rPr>
          <w:rFonts w:cs="Times New Roman"/>
          <w:sz w:val="24"/>
          <w:szCs w:val="24"/>
        </w:rPr>
      </w:pPr>
      <w:r w:rsidRPr="001C7994">
        <w:rPr>
          <w:rFonts w:cs="Times New Roman"/>
          <w:sz w:val="24"/>
          <w:szCs w:val="24"/>
        </w:rPr>
        <w:t>Students performing below the benchmark meet at least 3 (preferably consecutive) days per week (support on other 2 days happens through scaffolding and conferring)</w:t>
      </w:r>
    </w:p>
    <w:p w:rsidR="008378D3" w:rsidRPr="001C7994" w:rsidRDefault="008378D3" w:rsidP="008378D3">
      <w:pPr>
        <w:pStyle w:val="NoSpacing"/>
        <w:numPr>
          <w:ilvl w:val="0"/>
          <w:numId w:val="4"/>
        </w:numPr>
        <w:rPr>
          <w:rFonts w:cs="Times New Roman"/>
          <w:b/>
          <w:sz w:val="24"/>
          <w:szCs w:val="24"/>
        </w:rPr>
      </w:pPr>
      <w:r w:rsidRPr="001C7994">
        <w:rPr>
          <w:rFonts w:cs="Times New Roman"/>
          <w:sz w:val="24"/>
          <w:szCs w:val="24"/>
        </w:rPr>
        <w:t>Formative assessment procedures are embedded</w:t>
      </w:r>
    </w:p>
    <w:p w:rsidR="008378D3" w:rsidRPr="001C7994" w:rsidRDefault="008378D3" w:rsidP="008378D3">
      <w:pPr>
        <w:pStyle w:val="NoSpacing"/>
        <w:numPr>
          <w:ilvl w:val="0"/>
          <w:numId w:val="4"/>
        </w:numPr>
        <w:rPr>
          <w:rFonts w:cs="Times New Roman"/>
          <w:sz w:val="24"/>
          <w:szCs w:val="24"/>
        </w:rPr>
      </w:pPr>
      <w:r w:rsidRPr="001C7994">
        <w:rPr>
          <w:rFonts w:cs="Times New Roman"/>
          <w:sz w:val="24"/>
          <w:szCs w:val="24"/>
        </w:rPr>
        <w:t>Listening and speaking standards are addressed in every lesson as students turn and talk, participate in discussions, and interact with the text in meaningful ways</w:t>
      </w:r>
    </w:p>
    <w:p w:rsidR="008378D3" w:rsidRPr="001C7994" w:rsidRDefault="008378D3" w:rsidP="008378D3">
      <w:pPr>
        <w:pStyle w:val="NoSpacing"/>
        <w:numPr>
          <w:ilvl w:val="0"/>
          <w:numId w:val="4"/>
        </w:numPr>
        <w:rPr>
          <w:rFonts w:cs="Times New Roman"/>
          <w:sz w:val="24"/>
          <w:szCs w:val="24"/>
        </w:rPr>
      </w:pPr>
      <w:r w:rsidRPr="001C7994">
        <w:rPr>
          <w:rFonts w:cs="Times New Roman"/>
          <w:sz w:val="24"/>
          <w:szCs w:val="24"/>
        </w:rPr>
        <w:t>Writing is a natural extension- Acceleration in reading happens when reading and writing experiences are paired</w:t>
      </w:r>
    </w:p>
    <w:p w:rsidR="008378D3" w:rsidRPr="001C7994" w:rsidRDefault="008378D3" w:rsidP="008378D3">
      <w:pPr>
        <w:pStyle w:val="NoSpacing"/>
        <w:numPr>
          <w:ilvl w:val="0"/>
          <w:numId w:val="4"/>
        </w:numPr>
        <w:rPr>
          <w:rFonts w:cs="Times New Roman"/>
          <w:sz w:val="24"/>
          <w:szCs w:val="24"/>
        </w:rPr>
      </w:pPr>
      <w:r w:rsidRPr="001C7994">
        <w:rPr>
          <w:rFonts w:cs="Times New Roman"/>
          <w:sz w:val="24"/>
          <w:szCs w:val="24"/>
        </w:rPr>
        <w:t>The small group venue is a perfect opportunity to address the needs of students who receive additional support from specific programs (ELL, Title I, SPED). A partnership between specialists and general education teachers is crucial for student success.</w:t>
      </w:r>
    </w:p>
    <w:p w:rsidR="008378D3" w:rsidRDefault="008378D3" w:rsidP="008378D3">
      <w:pPr>
        <w:pStyle w:val="NoSpacing"/>
        <w:rPr>
          <w:rFonts w:ascii="Times New Roman" w:hAnsi="Times New Roman" w:cs="Times New Roman"/>
          <w:b/>
          <w:sz w:val="24"/>
          <w:szCs w:val="24"/>
        </w:rPr>
      </w:pPr>
    </w:p>
    <w:p w:rsidR="008378D3" w:rsidRDefault="008378D3" w:rsidP="008378D3">
      <w:pPr>
        <w:pStyle w:val="NoSpacing"/>
        <w:rPr>
          <w:rFonts w:ascii="Times New Roman" w:hAnsi="Times New Roman" w:cs="Times New Roman"/>
          <w:b/>
          <w:sz w:val="24"/>
          <w:szCs w:val="24"/>
        </w:rPr>
      </w:pPr>
    </w:p>
    <w:p w:rsidR="008378D3" w:rsidRDefault="008378D3" w:rsidP="008378D3">
      <w:pPr>
        <w:pStyle w:val="NoSpacing"/>
        <w:rPr>
          <w:rFonts w:ascii="Times New Roman" w:hAnsi="Times New Roman" w:cs="Times New Roman"/>
          <w:b/>
          <w:sz w:val="24"/>
          <w:szCs w:val="24"/>
        </w:rPr>
      </w:pPr>
    </w:p>
    <w:p w:rsidR="008378D3" w:rsidRPr="009170D2" w:rsidRDefault="008378D3" w:rsidP="008378D3">
      <w:pPr>
        <w:pStyle w:val="NoSpacing"/>
        <w:rPr>
          <w:rFonts w:ascii="Times New Roman" w:hAnsi="Times New Roman" w:cs="Times New Roman"/>
          <w:b/>
          <w:sz w:val="24"/>
          <w:szCs w:val="24"/>
        </w:rPr>
      </w:pPr>
    </w:p>
    <w:p w:rsidR="008378D3" w:rsidRPr="004C35C5" w:rsidRDefault="008378D3" w:rsidP="008378D3">
      <w:pPr>
        <w:pStyle w:val="NoSpacing"/>
        <w:jc w:val="center"/>
        <w:rPr>
          <w:rFonts w:cs="Times New Roman"/>
          <w:b/>
          <w:sz w:val="32"/>
          <w:szCs w:val="24"/>
        </w:rPr>
      </w:pPr>
      <w:r>
        <w:rPr>
          <w:rFonts w:cs="Times New Roman"/>
          <w:b/>
          <w:sz w:val="32"/>
          <w:szCs w:val="24"/>
        </w:rPr>
        <w:lastRenderedPageBreak/>
        <w:t>Menu 3: Independent</w:t>
      </w:r>
    </w:p>
    <w:p w:rsidR="008378D3" w:rsidRPr="009170D2" w:rsidRDefault="008378D3" w:rsidP="008378D3">
      <w:pPr>
        <w:pStyle w:val="NoSpacing"/>
        <w:jc w:val="center"/>
        <w:rPr>
          <w:rFonts w:ascii="Times New Roman" w:hAnsi="Times New Roman" w:cs="Times New Roman"/>
          <w:b/>
          <w:sz w:val="24"/>
          <w:szCs w:val="24"/>
        </w:rPr>
      </w:pPr>
    </w:p>
    <w:tbl>
      <w:tblPr>
        <w:tblStyle w:val="TableGrid"/>
        <w:tblW w:w="9812" w:type="dxa"/>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5328"/>
        <w:gridCol w:w="4484"/>
      </w:tblGrid>
      <w:tr w:rsidR="008378D3" w:rsidRPr="001C7994" w:rsidTr="00BE0239">
        <w:trPr>
          <w:jc w:val="center"/>
        </w:trPr>
        <w:tc>
          <w:tcPr>
            <w:tcW w:w="5328" w:type="dxa"/>
            <w:tcBorders>
              <w:top w:val="single" w:sz="18" w:space="0" w:color="000000" w:themeColor="text1"/>
              <w:bottom w:val="single" w:sz="6" w:space="0" w:color="000000" w:themeColor="text1"/>
            </w:tcBorders>
            <w:shd w:val="clear" w:color="auto" w:fill="95B3D7" w:themeFill="accent1" w:themeFillTint="99"/>
            <w:vAlign w:val="center"/>
          </w:tcPr>
          <w:p w:rsidR="008378D3" w:rsidRPr="001C7994" w:rsidRDefault="008378D3" w:rsidP="00BE0239">
            <w:pPr>
              <w:pStyle w:val="ListParagraph"/>
              <w:ind w:left="0"/>
              <w:jc w:val="center"/>
              <w:rPr>
                <w:rFonts w:cs="Times New Roman"/>
                <w:sz w:val="24"/>
                <w:szCs w:val="24"/>
              </w:rPr>
            </w:pPr>
            <w:r w:rsidRPr="001C7994">
              <w:rPr>
                <w:rFonts w:cs="Times New Roman"/>
                <w:sz w:val="24"/>
                <w:szCs w:val="24"/>
              </w:rPr>
              <w:t>*Independent reading from “Good Fit” or “Just Right” books  (pg.45)</w:t>
            </w:r>
          </w:p>
        </w:tc>
        <w:tc>
          <w:tcPr>
            <w:tcW w:w="4484" w:type="dxa"/>
            <w:tcBorders>
              <w:top w:val="single" w:sz="18" w:space="0" w:color="000000" w:themeColor="text1"/>
              <w:bottom w:val="single" w:sz="6" w:space="0" w:color="000000" w:themeColor="text1"/>
            </w:tcBorders>
            <w:shd w:val="clear" w:color="auto" w:fill="FDE9D9" w:themeFill="accent6" w:themeFillTint="33"/>
            <w:vAlign w:val="center"/>
          </w:tcPr>
          <w:p w:rsidR="008378D3" w:rsidRPr="001C7994" w:rsidRDefault="008378D3" w:rsidP="00BE0239">
            <w:pPr>
              <w:pStyle w:val="ListParagraph"/>
              <w:ind w:left="0"/>
              <w:jc w:val="center"/>
              <w:rPr>
                <w:rFonts w:cs="Times New Roman"/>
                <w:sz w:val="24"/>
                <w:szCs w:val="24"/>
              </w:rPr>
            </w:pPr>
            <w:r w:rsidRPr="001C7994">
              <w:rPr>
                <w:rFonts w:cs="Times New Roman"/>
                <w:sz w:val="24"/>
                <w:szCs w:val="24"/>
              </w:rPr>
              <w:t>Word work activities</w:t>
            </w:r>
          </w:p>
          <w:p w:rsidR="008378D3" w:rsidRPr="001C7994" w:rsidRDefault="008378D3" w:rsidP="00BE0239">
            <w:pPr>
              <w:pStyle w:val="ListParagraph"/>
              <w:ind w:left="0"/>
              <w:jc w:val="center"/>
              <w:rPr>
                <w:rFonts w:cs="Times New Roman"/>
                <w:sz w:val="24"/>
                <w:szCs w:val="24"/>
              </w:rPr>
            </w:pPr>
            <w:r w:rsidRPr="001C7994">
              <w:rPr>
                <w:rFonts w:cs="Times New Roman"/>
                <w:sz w:val="24"/>
                <w:szCs w:val="24"/>
              </w:rPr>
              <w:t>(</w:t>
            </w:r>
            <w:proofErr w:type="gramStart"/>
            <w:r w:rsidRPr="001C7994">
              <w:rPr>
                <w:rFonts w:cs="Times New Roman"/>
                <w:sz w:val="24"/>
                <w:szCs w:val="24"/>
              </w:rPr>
              <w:t>computerized</w:t>
            </w:r>
            <w:proofErr w:type="gramEnd"/>
            <w:r w:rsidRPr="001C7994">
              <w:rPr>
                <w:rFonts w:cs="Times New Roman"/>
                <w:sz w:val="24"/>
                <w:szCs w:val="24"/>
              </w:rPr>
              <w:t>, manipulatives, etc.) (pg. 44)</w:t>
            </w:r>
          </w:p>
        </w:tc>
      </w:tr>
      <w:tr w:rsidR="008378D3" w:rsidRPr="001C7994" w:rsidTr="00BE0239">
        <w:trPr>
          <w:jc w:val="center"/>
        </w:trPr>
        <w:tc>
          <w:tcPr>
            <w:tcW w:w="5328" w:type="dxa"/>
            <w:tcBorders>
              <w:top w:val="single" w:sz="6" w:space="0" w:color="000000" w:themeColor="text1"/>
              <w:bottom w:val="single" w:sz="18" w:space="0" w:color="000000" w:themeColor="text1"/>
            </w:tcBorders>
            <w:shd w:val="clear" w:color="auto" w:fill="95B3D7" w:themeFill="accent1" w:themeFillTint="99"/>
            <w:vAlign w:val="center"/>
          </w:tcPr>
          <w:p w:rsidR="008378D3" w:rsidRPr="001C7994" w:rsidRDefault="008378D3" w:rsidP="00BE0239">
            <w:pPr>
              <w:pStyle w:val="ListParagraph"/>
              <w:ind w:left="0"/>
              <w:jc w:val="center"/>
              <w:rPr>
                <w:rFonts w:cs="Times New Roman"/>
                <w:sz w:val="24"/>
                <w:szCs w:val="24"/>
              </w:rPr>
            </w:pPr>
            <w:r w:rsidRPr="001C7994">
              <w:rPr>
                <w:rFonts w:cs="Times New Roman"/>
                <w:sz w:val="24"/>
                <w:szCs w:val="24"/>
              </w:rPr>
              <w:t>Written responses using text based evidence/</w:t>
            </w:r>
          </w:p>
          <w:p w:rsidR="008378D3" w:rsidRPr="001C7994" w:rsidRDefault="008378D3" w:rsidP="00BE0239">
            <w:pPr>
              <w:pStyle w:val="ListParagraph"/>
              <w:ind w:left="0"/>
              <w:jc w:val="center"/>
              <w:rPr>
                <w:rFonts w:cs="Times New Roman"/>
                <w:sz w:val="24"/>
                <w:szCs w:val="24"/>
              </w:rPr>
            </w:pPr>
            <w:r w:rsidRPr="001C7994">
              <w:rPr>
                <w:rFonts w:cs="Times New Roman"/>
                <w:sz w:val="24"/>
                <w:szCs w:val="24"/>
              </w:rPr>
              <w:t>Preparing for discussions (pg.46)</w:t>
            </w:r>
          </w:p>
        </w:tc>
        <w:tc>
          <w:tcPr>
            <w:tcW w:w="4484" w:type="dxa"/>
            <w:tcBorders>
              <w:top w:val="single" w:sz="6" w:space="0" w:color="000000" w:themeColor="text1"/>
              <w:bottom w:val="single" w:sz="18" w:space="0" w:color="000000" w:themeColor="text1"/>
            </w:tcBorders>
            <w:shd w:val="clear" w:color="auto" w:fill="FDE9D9" w:themeFill="accent6" w:themeFillTint="33"/>
            <w:vAlign w:val="center"/>
          </w:tcPr>
          <w:p w:rsidR="008378D3" w:rsidRPr="001C7994" w:rsidRDefault="008378D3" w:rsidP="00BE0239">
            <w:pPr>
              <w:pStyle w:val="ListParagraph"/>
              <w:ind w:left="0"/>
              <w:jc w:val="center"/>
              <w:rPr>
                <w:rFonts w:cs="Times New Roman"/>
                <w:sz w:val="24"/>
                <w:szCs w:val="24"/>
              </w:rPr>
            </w:pPr>
            <w:r w:rsidRPr="001C7994">
              <w:rPr>
                <w:rFonts w:cs="Times New Roman"/>
                <w:sz w:val="24"/>
                <w:szCs w:val="24"/>
              </w:rPr>
              <w:t xml:space="preserve">Listening to </w:t>
            </w:r>
            <w:r>
              <w:rPr>
                <w:rFonts w:cs="Times New Roman"/>
                <w:sz w:val="24"/>
                <w:szCs w:val="24"/>
              </w:rPr>
              <w:t>reading (pg.47)</w:t>
            </w:r>
          </w:p>
        </w:tc>
      </w:tr>
    </w:tbl>
    <w:p w:rsidR="008378D3" w:rsidRDefault="008378D3" w:rsidP="008378D3">
      <w:pPr>
        <w:pStyle w:val="ListParagraph"/>
        <w:ind w:left="0"/>
        <w:rPr>
          <w:rFonts w:ascii="Times New Roman" w:hAnsi="Times New Roman" w:cs="Times New Roman"/>
          <w:sz w:val="24"/>
          <w:szCs w:val="24"/>
        </w:rPr>
      </w:pPr>
    </w:p>
    <w:p w:rsidR="008378D3" w:rsidRPr="001C7994" w:rsidRDefault="008378D3" w:rsidP="008378D3">
      <w:pPr>
        <w:rPr>
          <w:rFonts w:cs="Times New Roman"/>
          <w:b/>
          <w:sz w:val="24"/>
          <w:szCs w:val="24"/>
        </w:rPr>
      </w:pPr>
      <w:r w:rsidRPr="001C7994">
        <w:rPr>
          <w:rFonts w:cs="Times New Roman"/>
          <w:b/>
          <w:sz w:val="24"/>
          <w:szCs w:val="24"/>
        </w:rPr>
        <w:t>Key attributes of Independent Reading</w:t>
      </w:r>
    </w:p>
    <w:p w:rsidR="008378D3" w:rsidRPr="001C7994" w:rsidRDefault="008378D3" w:rsidP="008378D3">
      <w:pPr>
        <w:numPr>
          <w:ilvl w:val="0"/>
          <w:numId w:val="3"/>
        </w:numPr>
        <w:spacing w:after="0" w:line="240" w:lineRule="auto"/>
        <w:rPr>
          <w:rFonts w:cs="Times New Roman"/>
          <w:sz w:val="24"/>
          <w:szCs w:val="24"/>
        </w:rPr>
      </w:pPr>
      <w:r w:rsidRPr="001C7994">
        <w:rPr>
          <w:rFonts w:cs="Times New Roman"/>
          <w:sz w:val="24"/>
          <w:szCs w:val="24"/>
        </w:rPr>
        <w:t>Selection of appropriate text (“Good Fit” or “Just Right” books) is taught, modeled, and applied by students, then monitored by teachers throughout the year.</w:t>
      </w:r>
    </w:p>
    <w:p w:rsidR="008378D3" w:rsidRPr="001C7994" w:rsidRDefault="008378D3" w:rsidP="008378D3">
      <w:pPr>
        <w:numPr>
          <w:ilvl w:val="0"/>
          <w:numId w:val="3"/>
        </w:numPr>
        <w:spacing w:after="0" w:line="240" w:lineRule="auto"/>
        <w:rPr>
          <w:rFonts w:cs="Times New Roman"/>
          <w:b/>
          <w:sz w:val="24"/>
          <w:szCs w:val="24"/>
        </w:rPr>
      </w:pPr>
      <w:r w:rsidRPr="001C7994">
        <w:rPr>
          <w:rFonts w:cs="Times New Roman"/>
          <w:sz w:val="24"/>
          <w:szCs w:val="24"/>
        </w:rPr>
        <w:t>Children have time daily to read independently from “Good Fit” or “Just Right” books for extended periods of time. (</w:t>
      </w:r>
      <w:r w:rsidRPr="001C7994">
        <w:rPr>
          <w:rFonts w:cs="Times New Roman"/>
          <w:b/>
          <w:sz w:val="24"/>
          <w:szCs w:val="24"/>
        </w:rPr>
        <w:t xml:space="preserve">The majority of this time is spent reading books at the children’s independent reading level.) </w:t>
      </w:r>
    </w:p>
    <w:p w:rsidR="008378D3" w:rsidRPr="001C7994" w:rsidRDefault="008378D3" w:rsidP="008378D3">
      <w:pPr>
        <w:numPr>
          <w:ilvl w:val="0"/>
          <w:numId w:val="3"/>
        </w:numPr>
        <w:spacing w:after="0" w:line="240" w:lineRule="auto"/>
        <w:rPr>
          <w:rFonts w:cs="Times New Roman"/>
          <w:sz w:val="24"/>
          <w:szCs w:val="24"/>
        </w:rPr>
      </w:pPr>
      <w:r w:rsidRPr="001C7994">
        <w:rPr>
          <w:rFonts w:cs="Times New Roman"/>
          <w:sz w:val="24"/>
          <w:szCs w:val="24"/>
        </w:rPr>
        <w:t>There is a variety of texts available for student choice in the classroom-The classroom library is organized so students can easily access texts (For example levels, genres, authors etc.).</w:t>
      </w:r>
    </w:p>
    <w:p w:rsidR="008378D3" w:rsidRPr="001C7994" w:rsidRDefault="008378D3" w:rsidP="008378D3">
      <w:pPr>
        <w:numPr>
          <w:ilvl w:val="0"/>
          <w:numId w:val="3"/>
        </w:numPr>
        <w:spacing w:after="0" w:line="240" w:lineRule="auto"/>
        <w:rPr>
          <w:rFonts w:cs="Times New Roman"/>
          <w:sz w:val="24"/>
          <w:szCs w:val="24"/>
        </w:rPr>
      </w:pPr>
      <w:r w:rsidRPr="001C7994">
        <w:rPr>
          <w:rFonts w:cs="Times New Roman"/>
          <w:sz w:val="24"/>
          <w:szCs w:val="24"/>
        </w:rPr>
        <w:t>Students have book boxes or bags with multiple texts they can read independently of different lengths and genres allowing them to develop stamina for extended periods of time.</w:t>
      </w:r>
    </w:p>
    <w:p w:rsidR="008378D3" w:rsidRPr="001C7994" w:rsidRDefault="008378D3" w:rsidP="008378D3">
      <w:pPr>
        <w:numPr>
          <w:ilvl w:val="0"/>
          <w:numId w:val="3"/>
        </w:numPr>
        <w:spacing w:after="0" w:line="240" w:lineRule="auto"/>
        <w:rPr>
          <w:rFonts w:cs="Times New Roman"/>
          <w:sz w:val="24"/>
          <w:szCs w:val="24"/>
        </w:rPr>
      </w:pPr>
      <w:r w:rsidRPr="001C7994">
        <w:rPr>
          <w:rFonts w:cs="Times New Roman"/>
          <w:color w:val="000000"/>
          <w:sz w:val="24"/>
          <w:szCs w:val="24"/>
        </w:rPr>
        <w:t xml:space="preserve">Students are practicing the strategies they have been taught. </w:t>
      </w:r>
    </w:p>
    <w:p w:rsidR="008378D3" w:rsidRPr="001C7994" w:rsidRDefault="008378D3" w:rsidP="008378D3">
      <w:pPr>
        <w:pStyle w:val="NoSpacing"/>
        <w:numPr>
          <w:ilvl w:val="0"/>
          <w:numId w:val="3"/>
        </w:numPr>
        <w:rPr>
          <w:rFonts w:cs="Times New Roman"/>
          <w:sz w:val="24"/>
          <w:szCs w:val="24"/>
        </w:rPr>
      </w:pPr>
      <w:r w:rsidRPr="001C7994">
        <w:rPr>
          <w:rFonts w:cs="Times New Roman"/>
          <w:sz w:val="24"/>
          <w:szCs w:val="24"/>
        </w:rPr>
        <w:t>Writing is a natural extension to independent reading a 1-2 times a week. Acceleration in reading happens when reading and writing experiences are paired.</w:t>
      </w:r>
    </w:p>
    <w:p w:rsidR="008378D3" w:rsidRPr="001C7994" w:rsidRDefault="008378D3" w:rsidP="008378D3">
      <w:pPr>
        <w:numPr>
          <w:ilvl w:val="0"/>
          <w:numId w:val="3"/>
        </w:numPr>
        <w:spacing w:after="0" w:line="240" w:lineRule="auto"/>
        <w:rPr>
          <w:rFonts w:cs="Times New Roman"/>
          <w:sz w:val="24"/>
          <w:szCs w:val="24"/>
        </w:rPr>
      </w:pPr>
      <w:r w:rsidRPr="001C7994">
        <w:rPr>
          <w:rFonts w:cs="Times New Roman"/>
          <w:sz w:val="24"/>
          <w:szCs w:val="24"/>
        </w:rPr>
        <w:t>Worksheets are rarely if ever used (this does not refer to graphic organizers or thinking maps).</w:t>
      </w:r>
    </w:p>
    <w:p w:rsidR="008378D3" w:rsidRDefault="008378D3" w:rsidP="008378D3">
      <w:pPr>
        <w:spacing w:after="0" w:line="240" w:lineRule="auto"/>
        <w:rPr>
          <w:rFonts w:ascii="Times New Roman" w:hAnsi="Times New Roman" w:cs="Times New Roman"/>
          <w:b/>
          <w:sz w:val="24"/>
          <w:szCs w:val="24"/>
          <w:u w:val="single"/>
        </w:rPr>
      </w:pPr>
    </w:p>
    <w:p w:rsidR="008378D3" w:rsidRDefault="008378D3" w:rsidP="008378D3">
      <w:pPr>
        <w:pStyle w:val="NoSpacing"/>
        <w:jc w:val="center"/>
        <w:rPr>
          <w:rFonts w:cs="Times New Roman"/>
          <w:b/>
          <w:sz w:val="32"/>
          <w:szCs w:val="24"/>
        </w:rPr>
      </w:pPr>
      <w:r>
        <w:rPr>
          <w:rFonts w:cs="Times New Roman"/>
          <w:b/>
          <w:sz w:val="32"/>
          <w:szCs w:val="24"/>
        </w:rPr>
        <w:t>Menu 4: *One on One Conferring (Reading)</w:t>
      </w:r>
    </w:p>
    <w:p w:rsidR="008378D3" w:rsidRPr="001C7994" w:rsidRDefault="008378D3" w:rsidP="008378D3">
      <w:pPr>
        <w:pStyle w:val="NoSpacing"/>
        <w:jc w:val="center"/>
        <w:rPr>
          <w:rFonts w:cs="Times New Roman"/>
          <w:b/>
          <w:sz w:val="24"/>
          <w:szCs w:val="24"/>
        </w:rPr>
      </w:pPr>
    </w:p>
    <w:tbl>
      <w:tblPr>
        <w:tblStyle w:val="TableGrid"/>
        <w:tblW w:w="0" w:type="auto"/>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189"/>
        <w:gridCol w:w="3219"/>
        <w:gridCol w:w="3168"/>
      </w:tblGrid>
      <w:tr w:rsidR="008378D3" w:rsidRPr="001C7994" w:rsidTr="00BE0239">
        <w:trPr>
          <w:jc w:val="center"/>
        </w:trPr>
        <w:tc>
          <w:tcPr>
            <w:tcW w:w="3189" w:type="dxa"/>
            <w:tcBorders>
              <w:top w:val="single" w:sz="18" w:space="0" w:color="000000" w:themeColor="text1"/>
              <w:bottom w:val="single" w:sz="6" w:space="0" w:color="000000" w:themeColor="text1"/>
            </w:tcBorders>
            <w:shd w:val="clear" w:color="auto" w:fill="95B3D7" w:themeFill="accent1" w:themeFillTint="99"/>
            <w:vAlign w:val="center"/>
          </w:tcPr>
          <w:p w:rsidR="008378D3" w:rsidRPr="001C7994" w:rsidRDefault="008378D3" w:rsidP="00BE0239">
            <w:pPr>
              <w:pStyle w:val="ListParagraph"/>
              <w:ind w:left="0"/>
              <w:jc w:val="center"/>
              <w:rPr>
                <w:rFonts w:cs="Times New Roman"/>
                <w:sz w:val="24"/>
                <w:szCs w:val="24"/>
              </w:rPr>
            </w:pPr>
            <w:r w:rsidRPr="001C7994">
              <w:rPr>
                <w:rFonts w:cs="Times New Roman"/>
                <w:sz w:val="24"/>
                <w:szCs w:val="24"/>
              </w:rPr>
              <w:t>Orally assess for strengths and challenges</w:t>
            </w:r>
          </w:p>
        </w:tc>
        <w:tc>
          <w:tcPr>
            <w:tcW w:w="3219" w:type="dxa"/>
            <w:tcBorders>
              <w:top w:val="single" w:sz="18" w:space="0" w:color="000000" w:themeColor="text1"/>
              <w:bottom w:val="single" w:sz="6" w:space="0" w:color="000000" w:themeColor="text1"/>
            </w:tcBorders>
            <w:shd w:val="clear" w:color="auto" w:fill="FDE9D9" w:themeFill="accent6" w:themeFillTint="33"/>
            <w:vAlign w:val="center"/>
          </w:tcPr>
          <w:p w:rsidR="008378D3" w:rsidRPr="001C7994" w:rsidRDefault="008378D3" w:rsidP="00BE0239">
            <w:pPr>
              <w:pStyle w:val="ListParagraph"/>
              <w:ind w:left="0"/>
              <w:jc w:val="center"/>
              <w:rPr>
                <w:rFonts w:cs="Times New Roman"/>
                <w:sz w:val="24"/>
                <w:szCs w:val="24"/>
              </w:rPr>
            </w:pPr>
            <w:r w:rsidRPr="001C7994">
              <w:rPr>
                <w:rFonts w:cs="Times New Roman"/>
                <w:sz w:val="24"/>
                <w:szCs w:val="24"/>
              </w:rPr>
              <w:t>Set goals</w:t>
            </w:r>
          </w:p>
        </w:tc>
        <w:tc>
          <w:tcPr>
            <w:tcW w:w="3168" w:type="dxa"/>
            <w:vMerge w:val="restart"/>
            <w:tcBorders>
              <w:top w:val="single" w:sz="18" w:space="0" w:color="000000" w:themeColor="text1"/>
              <w:bottom w:val="single" w:sz="18" w:space="0" w:color="000000" w:themeColor="text1"/>
            </w:tcBorders>
            <w:shd w:val="clear" w:color="auto" w:fill="CCC0D9" w:themeFill="accent4" w:themeFillTint="66"/>
            <w:vAlign w:val="center"/>
          </w:tcPr>
          <w:p w:rsidR="008378D3" w:rsidRPr="001C7994" w:rsidRDefault="008378D3" w:rsidP="00BE0239">
            <w:pPr>
              <w:pStyle w:val="ListParagraph"/>
              <w:ind w:left="0"/>
              <w:jc w:val="center"/>
              <w:rPr>
                <w:rFonts w:cs="Times New Roman"/>
                <w:sz w:val="24"/>
                <w:szCs w:val="24"/>
              </w:rPr>
            </w:pPr>
            <w:r w:rsidRPr="001C7994">
              <w:rPr>
                <w:rFonts w:cs="Times New Roman"/>
                <w:sz w:val="24"/>
                <w:szCs w:val="24"/>
              </w:rPr>
              <w:t>Support and/or check</w:t>
            </w:r>
          </w:p>
          <w:p w:rsidR="008378D3" w:rsidRPr="001C7994" w:rsidRDefault="008378D3" w:rsidP="00BE0239">
            <w:pPr>
              <w:pStyle w:val="ListParagraph"/>
              <w:ind w:left="0"/>
              <w:jc w:val="center"/>
              <w:rPr>
                <w:rFonts w:cs="Times New Roman"/>
                <w:sz w:val="24"/>
                <w:szCs w:val="24"/>
              </w:rPr>
            </w:pPr>
            <w:r w:rsidRPr="001C7994">
              <w:rPr>
                <w:rFonts w:cs="Times New Roman"/>
                <w:sz w:val="24"/>
                <w:szCs w:val="24"/>
              </w:rPr>
              <w:t>book choices</w:t>
            </w:r>
          </w:p>
        </w:tc>
      </w:tr>
      <w:tr w:rsidR="008378D3" w:rsidRPr="001C7994" w:rsidTr="00BE0239">
        <w:trPr>
          <w:jc w:val="center"/>
        </w:trPr>
        <w:tc>
          <w:tcPr>
            <w:tcW w:w="3189" w:type="dxa"/>
            <w:tcBorders>
              <w:top w:val="single" w:sz="6" w:space="0" w:color="000000" w:themeColor="text1"/>
              <w:bottom w:val="single" w:sz="18" w:space="0" w:color="000000" w:themeColor="text1"/>
            </w:tcBorders>
            <w:shd w:val="clear" w:color="auto" w:fill="95B3D7" w:themeFill="accent1" w:themeFillTint="99"/>
            <w:vAlign w:val="center"/>
          </w:tcPr>
          <w:p w:rsidR="008378D3" w:rsidRPr="001C7994" w:rsidRDefault="008378D3" w:rsidP="00BE0239">
            <w:pPr>
              <w:pStyle w:val="ListParagraph"/>
              <w:ind w:left="0"/>
              <w:jc w:val="center"/>
              <w:rPr>
                <w:rFonts w:cs="Times New Roman"/>
                <w:sz w:val="24"/>
                <w:szCs w:val="24"/>
              </w:rPr>
            </w:pPr>
            <w:r w:rsidRPr="001C7994">
              <w:rPr>
                <w:rFonts w:cs="Times New Roman"/>
                <w:sz w:val="24"/>
                <w:szCs w:val="24"/>
              </w:rPr>
              <w:t>Monitor strategy use</w:t>
            </w:r>
          </w:p>
        </w:tc>
        <w:tc>
          <w:tcPr>
            <w:tcW w:w="3219" w:type="dxa"/>
            <w:tcBorders>
              <w:top w:val="single" w:sz="6" w:space="0" w:color="000000" w:themeColor="text1"/>
              <w:bottom w:val="single" w:sz="18" w:space="0" w:color="000000" w:themeColor="text1"/>
            </w:tcBorders>
            <w:shd w:val="clear" w:color="auto" w:fill="FDE9D9" w:themeFill="accent6" w:themeFillTint="33"/>
            <w:vAlign w:val="center"/>
          </w:tcPr>
          <w:p w:rsidR="008378D3" w:rsidRPr="001C7994" w:rsidRDefault="008378D3" w:rsidP="00BE0239">
            <w:pPr>
              <w:pStyle w:val="ListParagraph"/>
              <w:ind w:left="0"/>
              <w:jc w:val="center"/>
              <w:rPr>
                <w:rFonts w:cs="Times New Roman"/>
                <w:sz w:val="24"/>
                <w:szCs w:val="24"/>
              </w:rPr>
            </w:pPr>
            <w:r w:rsidRPr="001C7994">
              <w:rPr>
                <w:rFonts w:cs="Times New Roman"/>
                <w:sz w:val="24"/>
                <w:szCs w:val="24"/>
              </w:rPr>
              <w:t>Individualized instruction</w:t>
            </w:r>
          </w:p>
        </w:tc>
        <w:tc>
          <w:tcPr>
            <w:tcW w:w="3168" w:type="dxa"/>
            <w:vMerge/>
            <w:tcBorders>
              <w:top w:val="single" w:sz="6" w:space="0" w:color="000000" w:themeColor="text1"/>
              <w:bottom w:val="single" w:sz="18" w:space="0" w:color="000000" w:themeColor="text1"/>
            </w:tcBorders>
            <w:shd w:val="clear" w:color="auto" w:fill="CCC0D9" w:themeFill="accent4" w:themeFillTint="66"/>
          </w:tcPr>
          <w:p w:rsidR="008378D3" w:rsidRPr="001C7994" w:rsidRDefault="008378D3" w:rsidP="00BE0239">
            <w:pPr>
              <w:pStyle w:val="ListParagraph"/>
              <w:ind w:left="0"/>
              <w:jc w:val="center"/>
              <w:rPr>
                <w:rFonts w:cs="Times New Roman"/>
                <w:sz w:val="24"/>
                <w:szCs w:val="24"/>
              </w:rPr>
            </w:pPr>
          </w:p>
        </w:tc>
      </w:tr>
    </w:tbl>
    <w:p w:rsidR="008378D3" w:rsidRDefault="008378D3" w:rsidP="008378D3">
      <w:pPr>
        <w:pStyle w:val="ListParagraph"/>
        <w:ind w:left="0"/>
        <w:rPr>
          <w:rFonts w:ascii="Times New Roman" w:hAnsi="Times New Roman" w:cs="Times New Roman"/>
          <w:b/>
          <w:sz w:val="24"/>
          <w:szCs w:val="24"/>
          <w:u w:val="single"/>
        </w:rPr>
      </w:pPr>
    </w:p>
    <w:p w:rsidR="008378D3" w:rsidRPr="001C7994" w:rsidRDefault="008378D3" w:rsidP="008378D3">
      <w:pPr>
        <w:rPr>
          <w:rFonts w:cs="Times New Roman"/>
          <w:b/>
          <w:sz w:val="24"/>
          <w:szCs w:val="24"/>
        </w:rPr>
      </w:pPr>
      <w:r w:rsidRPr="001C7994">
        <w:rPr>
          <w:rFonts w:cs="Times New Roman"/>
          <w:b/>
          <w:sz w:val="24"/>
          <w:szCs w:val="24"/>
        </w:rPr>
        <w:t>Key attributes of 1:1 Conferring in Reading</w:t>
      </w:r>
      <w:r>
        <w:rPr>
          <w:rFonts w:cs="Times New Roman"/>
          <w:b/>
          <w:sz w:val="24"/>
          <w:szCs w:val="24"/>
        </w:rPr>
        <w:t xml:space="preserve"> (pg.48)</w:t>
      </w:r>
    </w:p>
    <w:p w:rsidR="008378D3" w:rsidRPr="001C7994" w:rsidRDefault="008378D3" w:rsidP="008378D3">
      <w:pPr>
        <w:numPr>
          <w:ilvl w:val="0"/>
          <w:numId w:val="3"/>
        </w:numPr>
        <w:spacing w:after="0" w:line="240" w:lineRule="auto"/>
        <w:rPr>
          <w:rFonts w:cs="Times New Roman"/>
          <w:sz w:val="24"/>
          <w:szCs w:val="24"/>
        </w:rPr>
      </w:pPr>
      <w:r w:rsidRPr="001C7994">
        <w:rPr>
          <w:rFonts w:cs="Times New Roman"/>
          <w:sz w:val="24"/>
          <w:szCs w:val="24"/>
        </w:rPr>
        <w:t>Formal and on-going informal assessments are administered and analyzed in order to guide further instruction.</w:t>
      </w:r>
    </w:p>
    <w:p w:rsidR="008378D3" w:rsidRPr="001C7994" w:rsidRDefault="008378D3" w:rsidP="008378D3">
      <w:pPr>
        <w:numPr>
          <w:ilvl w:val="0"/>
          <w:numId w:val="3"/>
        </w:numPr>
        <w:spacing w:after="0" w:line="240" w:lineRule="auto"/>
        <w:rPr>
          <w:rFonts w:cs="Times New Roman"/>
          <w:sz w:val="24"/>
          <w:szCs w:val="24"/>
        </w:rPr>
      </w:pPr>
      <w:r w:rsidRPr="001C7994">
        <w:rPr>
          <w:rFonts w:cs="Times New Roman"/>
          <w:sz w:val="24"/>
          <w:szCs w:val="24"/>
        </w:rPr>
        <w:t>Students and teachers confer on a regular basis based on student need. Students reading below benchmark confer with the teacher at least once a week.</w:t>
      </w:r>
    </w:p>
    <w:p w:rsidR="008378D3" w:rsidRPr="001C7994" w:rsidRDefault="008378D3" w:rsidP="008378D3">
      <w:pPr>
        <w:numPr>
          <w:ilvl w:val="0"/>
          <w:numId w:val="3"/>
        </w:numPr>
        <w:spacing w:after="0" w:line="240" w:lineRule="auto"/>
        <w:rPr>
          <w:rFonts w:cs="Times New Roman"/>
          <w:sz w:val="24"/>
          <w:szCs w:val="24"/>
        </w:rPr>
      </w:pPr>
      <w:r w:rsidRPr="001C7994">
        <w:rPr>
          <w:rFonts w:cs="Times New Roman"/>
          <w:sz w:val="24"/>
          <w:szCs w:val="24"/>
        </w:rPr>
        <w:t>Goal setting by the teacher and student is an integral part of the conference cycle.</w:t>
      </w:r>
    </w:p>
    <w:p w:rsidR="008378D3" w:rsidRPr="001C7994" w:rsidRDefault="008378D3" w:rsidP="008378D3">
      <w:pPr>
        <w:numPr>
          <w:ilvl w:val="0"/>
          <w:numId w:val="3"/>
        </w:numPr>
        <w:spacing w:after="0" w:line="240" w:lineRule="auto"/>
        <w:rPr>
          <w:rFonts w:cs="Times New Roman"/>
          <w:sz w:val="24"/>
          <w:szCs w:val="24"/>
        </w:rPr>
      </w:pPr>
      <w:r w:rsidRPr="001C7994">
        <w:rPr>
          <w:rFonts w:cs="Times New Roman"/>
          <w:sz w:val="24"/>
          <w:szCs w:val="24"/>
        </w:rPr>
        <w:t>Book choices are monitored by the teacher throughout the year to ensure students are practicing primarily with independent or instructional level text.</w:t>
      </w:r>
    </w:p>
    <w:p w:rsidR="008378D3" w:rsidRPr="001C7994" w:rsidRDefault="008378D3" w:rsidP="008378D3">
      <w:pPr>
        <w:numPr>
          <w:ilvl w:val="0"/>
          <w:numId w:val="3"/>
        </w:numPr>
        <w:spacing w:after="0" w:line="240" w:lineRule="auto"/>
        <w:rPr>
          <w:rFonts w:cs="Times New Roman"/>
          <w:sz w:val="24"/>
          <w:szCs w:val="24"/>
        </w:rPr>
      </w:pPr>
      <w:r w:rsidRPr="001C7994">
        <w:rPr>
          <w:rFonts w:cs="Times New Roman"/>
          <w:color w:val="000000"/>
          <w:sz w:val="24"/>
          <w:szCs w:val="24"/>
        </w:rPr>
        <w:lastRenderedPageBreak/>
        <w:t xml:space="preserve">The teacher monitors student’s application of strategies taught through 1:1 conferring and response logs. </w:t>
      </w:r>
    </w:p>
    <w:p w:rsidR="008378D3" w:rsidRDefault="008378D3" w:rsidP="008378D3">
      <w:pPr>
        <w:numPr>
          <w:ilvl w:val="0"/>
          <w:numId w:val="3"/>
        </w:numPr>
        <w:spacing w:after="0" w:line="240" w:lineRule="auto"/>
        <w:rPr>
          <w:rFonts w:cs="Times New Roman"/>
          <w:sz w:val="24"/>
          <w:szCs w:val="24"/>
        </w:rPr>
      </w:pPr>
      <w:r w:rsidRPr="001C7994">
        <w:rPr>
          <w:rFonts w:cs="Times New Roman"/>
          <w:sz w:val="24"/>
          <w:szCs w:val="24"/>
        </w:rPr>
        <w:t>The</w:t>
      </w:r>
      <w:r>
        <w:rPr>
          <w:rFonts w:cs="Times New Roman"/>
          <w:sz w:val="24"/>
          <w:szCs w:val="24"/>
        </w:rPr>
        <w:t xml:space="preserve"> teacher can utilize</w:t>
      </w:r>
      <w:r w:rsidRPr="001C7994">
        <w:rPr>
          <w:rFonts w:cs="Times New Roman"/>
          <w:sz w:val="24"/>
          <w:szCs w:val="24"/>
        </w:rPr>
        <w:t xml:space="preserve"> team tasks, independent tasks, and portfolios with students to re-teach content and set goals. </w:t>
      </w:r>
    </w:p>
    <w:p w:rsidR="008378D3" w:rsidRPr="00304A7B" w:rsidRDefault="008378D3" w:rsidP="008378D3">
      <w:pPr>
        <w:spacing w:after="0" w:line="240" w:lineRule="auto"/>
        <w:ind w:left="1080"/>
        <w:rPr>
          <w:rFonts w:cs="Times New Roman"/>
          <w:sz w:val="24"/>
          <w:szCs w:val="24"/>
        </w:rPr>
      </w:pPr>
    </w:p>
    <w:p w:rsidR="008378D3" w:rsidRDefault="008378D3" w:rsidP="008378D3">
      <w:pPr>
        <w:pStyle w:val="NoSpacing"/>
        <w:jc w:val="center"/>
        <w:rPr>
          <w:rFonts w:cs="Times New Roman"/>
          <w:b/>
          <w:sz w:val="32"/>
          <w:szCs w:val="24"/>
        </w:rPr>
      </w:pPr>
      <w:r>
        <w:rPr>
          <w:rFonts w:cs="Times New Roman"/>
          <w:b/>
          <w:sz w:val="32"/>
          <w:szCs w:val="24"/>
        </w:rPr>
        <w:t>Menu 5</w:t>
      </w:r>
      <w:r w:rsidRPr="004C35C5">
        <w:rPr>
          <w:rFonts w:cs="Times New Roman"/>
          <w:b/>
          <w:sz w:val="32"/>
          <w:szCs w:val="24"/>
        </w:rPr>
        <w:t>: Whole Group Reading</w:t>
      </w:r>
    </w:p>
    <w:p w:rsidR="008378D3" w:rsidRPr="004C35C5" w:rsidRDefault="008378D3" w:rsidP="008378D3">
      <w:pPr>
        <w:pStyle w:val="NoSpacing"/>
        <w:jc w:val="center"/>
        <w:rPr>
          <w:rFonts w:cs="Times New Roman"/>
          <w:b/>
          <w:sz w:val="32"/>
          <w:szCs w:val="24"/>
        </w:rPr>
      </w:pPr>
    </w:p>
    <w:tbl>
      <w:tblPr>
        <w:tblStyle w:val="TableGrid"/>
        <w:tblW w:w="0" w:type="auto"/>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192"/>
        <w:gridCol w:w="3192"/>
        <w:gridCol w:w="3192"/>
      </w:tblGrid>
      <w:tr w:rsidR="008378D3" w:rsidRPr="009170D2" w:rsidTr="00BE0239">
        <w:trPr>
          <w:jc w:val="center"/>
        </w:trPr>
        <w:tc>
          <w:tcPr>
            <w:tcW w:w="3192" w:type="dxa"/>
            <w:tcBorders>
              <w:top w:val="single" w:sz="18" w:space="0" w:color="000000" w:themeColor="text1"/>
              <w:bottom w:val="single" w:sz="6" w:space="0" w:color="000000" w:themeColor="text1"/>
            </w:tcBorders>
            <w:shd w:val="clear" w:color="auto" w:fill="95B3D7" w:themeFill="accent1" w:themeFillTint="99"/>
            <w:vAlign w:val="center"/>
          </w:tcPr>
          <w:p w:rsidR="008378D3" w:rsidRPr="009170D2" w:rsidRDefault="008378D3" w:rsidP="00BE0239">
            <w:pPr>
              <w:jc w:val="center"/>
              <w:rPr>
                <w:rFonts w:ascii="Times New Roman" w:hAnsi="Times New Roman" w:cs="Times New Roman"/>
                <w:sz w:val="24"/>
                <w:szCs w:val="24"/>
              </w:rPr>
            </w:pPr>
            <w:r w:rsidRPr="009170D2">
              <w:rPr>
                <w:rFonts w:ascii="Times New Roman" w:hAnsi="Times New Roman" w:cs="Times New Roman"/>
                <w:sz w:val="24"/>
                <w:szCs w:val="24"/>
              </w:rPr>
              <w:t>Demonstration/modeling</w:t>
            </w:r>
            <w:r>
              <w:rPr>
                <w:rFonts w:ascii="Times New Roman" w:hAnsi="Times New Roman" w:cs="Times New Roman"/>
                <w:sz w:val="24"/>
                <w:szCs w:val="24"/>
              </w:rPr>
              <w:t xml:space="preserve"> (pg.49)</w:t>
            </w:r>
          </w:p>
        </w:tc>
        <w:tc>
          <w:tcPr>
            <w:tcW w:w="3192" w:type="dxa"/>
            <w:tcBorders>
              <w:top w:val="single" w:sz="18" w:space="0" w:color="000000" w:themeColor="text1"/>
              <w:bottom w:val="single" w:sz="6" w:space="0" w:color="000000" w:themeColor="text1"/>
            </w:tcBorders>
            <w:shd w:val="clear" w:color="auto" w:fill="FDE9D9" w:themeFill="accent6" w:themeFillTint="33"/>
            <w:vAlign w:val="center"/>
          </w:tcPr>
          <w:p w:rsidR="008378D3" w:rsidRPr="009170D2" w:rsidRDefault="008378D3" w:rsidP="00BE0239">
            <w:pPr>
              <w:pStyle w:val="ListParagraph"/>
              <w:ind w:left="0"/>
              <w:jc w:val="center"/>
              <w:rPr>
                <w:rFonts w:ascii="Times New Roman" w:hAnsi="Times New Roman" w:cs="Times New Roman"/>
                <w:sz w:val="24"/>
                <w:szCs w:val="24"/>
              </w:rPr>
            </w:pPr>
            <w:r w:rsidRPr="009170D2">
              <w:rPr>
                <w:rFonts w:ascii="Times New Roman" w:hAnsi="Times New Roman" w:cs="Times New Roman"/>
                <w:sz w:val="24"/>
                <w:szCs w:val="24"/>
              </w:rPr>
              <w:t>Interactive Writing</w:t>
            </w:r>
            <w:r>
              <w:rPr>
                <w:rFonts w:ascii="Times New Roman" w:hAnsi="Times New Roman" w:cs="Times New Roman"/>
                <w:sz w:val="24"/>
                <w:szCs w:val="24"/>
              </w:rPr>
              <w:t xml:space="preserve"> or Interactive Editing/Revising (pg.51-52)</w:t>
            </w:r>
          </w:p>
        </w:tc>
        <w:tc>
          <w:tcPr>
            <w:tcW w:w="3192" w:type="dxa"/>
            <w:tcBorders>
              <w:top w:val="single" w:sz="18" w:space="0" w:color="000000" w:themeColor="text1"/>
              <w:bottom w:val="single" w:sz="6" w:space="0" w:color="000000" w:themeColor="text1"/>
            </w:tcBorders>
            <w:shd w:val="clear" w:color="auto" w:fill="CCC0D9" w:themeFill="accent4" w:themeFillTint="66"/>
            <w:vAlign w:val="center"/>
          </w:tcPr>
          <w:p w:rsidR="008378D3" w:rsidRPr="009170D2" w:rsidRDefault="008378D3" w:rsidP="00BE0239">
            <w:pPr>
              <w:pStyle w:val="ListParagraph"/>
              <w:ind w:left="0"/>
              <w:jc w:val="center"/>
              <w:rPr>
                <w:rFonts w:ascii="Times New Roman" w:hAnsi="Times New Roman" w:cs="Times New Roman"/>
                <w:sz w:val="24"/>
                <w:szCs w:val="24"/>
              </w:rPr>
            </w:pPr>
          </w:p>
        </w:tc>
      </w:tr>
      <w:tr w:rsidR="008378D3" w:rsidRPr="009170D2" w:rsidTr="00BE0239">
        <w:trPr>
          <w:jc w:val="center"/>
        </w:trPr>
        <w:tc>
          <w:tcPr>
            <w:tcW w:w="3192" w:type="dxa"/>
            <w:tcBorders>
              <w:top w:val="single" w:sz="6" w:space="0" w:color="000000" w:themeColor="text1"/>
              <w:bottom w:val="single" w:sz="18" w:space="0" w:color="000000" w:themeColor="text1"/>
            </w:tcBorders>
            <w:shd w:val="clear" w:color="auto" w:fill="95B3D7" w:themeFill="accent1" w:themeFillTint="99"/>
            <w:vAlign w:val="center"/>
          </w:tcPr>
          <w:p w:rsidR="008378D3" w:rsidRPr="009170D2" w:rsidRDefault="008378D3" w:rsidP="00BE0239">
            <w:pPr>
              <w:jc w:val="center"/>
              <w:rPr>
                <w:rFonts w:ascii="Times New Roman" w:hAnsi="Times New Roman" w:cs="Times New Roman"/>
                <w:sz w:val="24"/>
                <w:szCs w:val="24"/>
              </w:rPr>
            </w:pPr>
            <w:r>
              <w:rPr>
                <w:rFonts w:ascii="Times New Roman" w:hAnsi="Times New Roman" w:cs="Times New Roman"/>
                <w:sz w:val="24"/>
                <w:szCs w:val="24"/>
              </w:rPr>
              <w:t>S</w:t>
            </w:r>
            <w:r w:rsidRPr="009170D2">
              <w:rPr>
                <w:rFonts w:ascii="Times New Roman" w:hAnsi="Times New Roman" w:cs="Times New Roman"/>
                <w:sz w:val="24"/>
                <w:szCs w:val="24"/>
              </w:rPr>
              <w:t xml:space="preserve">hared </w:t>
            </w:r>
            <w:r>
              <w:rPr>
                <w:rFonts w:ascii="Times New Roman" w:hAnsi="Times New Roman" w:cs="Times New Roman"/>
                <w:sz w:val="24"/>
                <w:szCs w:val="24"/>
              </w:rPr>
              <w:t>W</w:t>
            </w:r>
            <w:r w:rsidRPr="009170D2">
              <w:rPr>
                <w:rFonts w:ascii="Times New Roman" w:hAnsi="Times New Roman" w:cs="Times New Roman"/>
                <w:sz w:val="24"/>
                <w:szCs w:val="24"/>
              </w:rPr>
              <w:t>riting</w:t>
            </w:r>
            <w:r>
              <w:rPr>
                <w:rFonts w:ascii="Times New Roman" w:hAnsi="Times New Roman" w:cs="Times New Roman"/>
                <w:sz w:val="24"/>
                <w:szCs w:val="24"/>
              </w:rPr>
              <w:t xml:space="preserve"> (pg.50)</w:t>
            </w:r>
          </w:p>
        </w:tc>
        <w:tc>
          <w:tcPr>
            <w:tcW w:w="3192" w:type="dxa"/>
            <w:tcBorders>
              <w:top w:val="single" w:sz="6" w:space="0" w:color="000000" w:themeColor="text1"/>
              <w:bottom w:val="single" w:sz="18" w:space="0" w:color="000000" w:themeColor="text1"/>
            </w:tcBorders>
            <w:shd w:val="clear" w:color="auto" w:fill="FDE9D9" w:themeFill="accent6" w:themeFillTint="33"/>
            <w:vAlign w:val="center"/>
          </w:tcPr>
          <w:p w:rsidR="008378D3" w:rsidRPr="00A30344" w:rsidRDefault="008378D3" w:rsidP="00BE0239">
            <w:pPr>
              <w:pStyle w:val="ListParagraph"/>
              <w:ind w:left="0"/>
              <w:jc w:val="center"/>
              <w:rPr>
                <w:rFonts w:ascii="Times New Roman" w:hAnsi="Times New Roman" w:cs="Times New Roman"/>
                <w:sz w:val="24"/>
                <w:szCs w:val="24"/>
              </w:rPr>
            </w:pPr>
            <w:r w:rsidRPr="009170D2">
              <w:rPr>
                <w:rFonts w:ascii="Times New Roman" w:hAnsi="Times New Roman" w:cs="Times New Roman"/>
                <w:sz w:val="24"/>
                <w:szCs w:val="24"/>
              </w:rPr>
              <w:t>Genre- Immersion and Discovery</w:t>
            </w:r>
            <w:r>
              <w:rPr>
                <w:rFonts w:ascii="Times New Roman" w:hAnsi="Times New Roman" w:cs="Times New Roman"/>
                <w:sz w:val="24"/>
                <w:szCs w:val="24"/>
              </w:rPr>
              <w:t xml:space="preserve"> (pg.53)</w:t>
            </w:r>
          </w:p>
        </w:tc>
        <w:tc>
          <w:tcPr>
            <w:tcW w:w="3192" w:type="dxa"/>
            <w:tcBorders>
              <w:top w:val="single" w:sz="6" w:space="0" w:color="000000" w:themeColor="text1"/>
              <w:bottom w:val="single" w:sz="18" w:space="0" w:color="000000" w:themeColor="text1"/>
            </w:tcBorders>
            <w:shd w:val="clear" w:color="auto" w:fill="CCC0D9" w:themeFill="accent4" w:themeFillTint="66"/>
            <w:vAlign w:val="center"/>
          </w:tcPr>
          <w:p w:rsidR="008378D3" w:rsidRDefault="008378D3" w:rsidP="00BE0239">
            <w:pPr>
              <w:pStyle w:val="ListParagraph"/>
              <w:ind w:left="0"/>
              <w:jc w:val="center"/>
              <w:rPr>
                <w:rFonts w:ascii="Times New Roman" w:hAnsi="Times New Roman" w:cs="Times New Roman"/>
                <w:sz w:val="24"/>
                <w:szCs w:val="24"/>
              </w:rPr>
            </w:pPr>
            <w:r w:rsidRPr="009170D2">
              <w:rPr>
                <w:rFonts w:ascii="Times New Roman" w:hAnsi="Times New Roman" w:cs="Times New Roman"/>
                <w:sz w:val="24"/>
                <w:szCs w:val="24"/>
              </w:rPr>
              <w:t>Share Circle/Debrief</w:t>
            </w:r>
            <w:r>
              <w:rPr>
                <w:rFonts w:ascii="Times New Roman" w:hAnsi="Times New Roman" w:cs="Times New Roman"/>
                <w:sz w:val="24"/>
                <w:szCs w:val="24"/>
              </w:rPr>
              <w:t xml:space="preserve"> and</w:t>
            </w:r>
          </w:p>
          <w:p w:rsidR="008378D3" w:rsidRPr="009170D2" w:rsidRDefault="008378D3" w:rsidP="00BE02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Celebrating published work (pg.36)</w:t>
            </w:r>
          </w:p>
        </w:tc>
      </w:tr>
    </w:tbl>
    <w:p w:rsidR="008378D3" w:rsidRDefault="008378D3" w:rsidP="008378D3">
      <w:pPr>
        <w:pStyle w:val="ListParagraph"/>
        <w:ind w:left="0"/>
        <w:rPr>
          <w:rFonts w:ascii="Times New Roman" w:hAnsi="Times New Roman" w:cs="Times New Roman"/>
          <w:b/>
          <w:sz w:val="24"/>
          <w:szCs w:val="24"/>
        </w:rPr>
      </w:pPr>
    </w:p>
    <w:p w:rsidR="008378D3" w:rsidRPr="00304A7B" w:rsidRDefault="008378D3" w:rsidP="008378D3">
      <w:pPr>
        <w:rPr>
          <w:rFonts w:cs="Times New Roman"/>
          <w:b/>
          <w:sz w:val="24"/>
          <w:szCs w:val="24"/>
        </w:rPr>
      </w:pPr>
      <w:r w:rsidRPr="00304A7B">
        <w:rPr>
          <w:rFonts w:cs="Times New Roman"/>
          <w:b/>
          <w:sz w:val="24"/>
          <w:szCs w:val="24"/>
        </w:rPr>
        <w:t>Key attributes of Whole Group Writing</w:t>
      </w:r>
    </w:p>
    <w:p w:rsidR="008378D3" w:rsidRPr="00304A7B" w:rsidRDefault="008378D3" w:rsidP="008378D3">
      <w:pPr>
        <w:numPr>
          <w:ilvl w:val="0"/>
          <w:numId w:val="1"/>
        </w:numPr>
        <w:spacing w:after="0" w:line="240" w:lineRule="auto"/>
        <w:rPr>
          <w:rFonts w:cs="Times New Roman"/>
          <w:sz w:val="24"/>
          <w:szCs w:val="24"/>
        </w:rPr>
      </w:pPr>
      <w:r w:rsidRPr="00304A7B">
        <w:rPr>
          <w:rFonts w:cs="Times New Roman"/>
          <w:sz w:val="24"/>
          <w:szCs w:val="24"/>
        </w:rPr>
        <w:t>Aligned to priority standards, developing critical writing behaviors or skills/strategies that the majority of the class needs support with. The standard or objective for the lesson is clearly stated or posted.</w:t>
      </w:r>
    </w:p>
    <w:p w:rsidR="008378D3" w:rsidRPr="00304A7B" w:rsidRDefault="008378D3" w:rsidP="008378D3">
      <w:pPr>
        <w:numPr>
          <w:ilvl w:val="0"/>
          <w:numId w:val="1"/>
        </w:numPr>
        <w:spacing w:after="0" w:line="240" w:lineRule="auto"/>
        <w:rPr>
          <w:rFonts w:cs="Times New Roman"/>
          <w:sz w:val="24"/>
          <w:szCs w:val="24"/>
        </w:rPr>
      </w:pPr>
      <w:r w:rsidRPr="00304A7B">
        <w:rPr>
          <w:rFonts w:cs="Times New Roman"/>
          <w:sz w:val="24"/>
          <w:szCs w:val="24"/>
        </w:rPr>
        <w:t>Occurs daily and can be in a Lesson format (15-45 minutes depending on the age of students) or a mini-lesson format (5-15 minutes).</w:t>
      </w:r>
    </w:p>
    <w:p w:rsidR="008378D3" w:rsidRPr="00304A7B" w:rsidRDefault="008378D3" w:rsidP="008378D3">
      <w:pPr>
        <w:numPr>
          <w:ilvl w:val="0"/>
          <w:numId w:val="1"/>
        </w:numPr>
        <w:spacing w:after="0" w:line="240" w:lineRule="auto"/>
        <w:rPr>
          <w:rFonts w:cs="Times New Roman"/>
          <w:sz w:val="24"/>
          <w:szCs w:val="24"/>
        </w:rPr>
      </w:pPr>
      <w:r w:rsidRPr="00304A7B">
        <w:rPr>
          <w:rFonts w:cs="Times New Roman"/>
          <w:sz w:val="24"/>
          <w:szCs w:val="24"/>
        </w:rPr>
        <w:t>Multiple mini-lessons may be part of a literacy block.</w:t>
      </w:r>
    </w:p>
    <w:p w:rsidR="008378D3" w:rsidRPr="00304A7B" w:rsidRDefault="008378D3" w:rsidP="008378D3">
      <w:pPr>
        <w:numPr>
          <w:ilvl w:val="0"/>
          <w:numId w:val="1"/>
        </w:numPr>
        <w:spacing w:after="0" w:line="240" w:lineRule="auto"/>
        <w:rPr>
          <w:rFonts w:cs="Times New Roman"/>
          <w:sz w:val="24"/>
          <w:szCs w:val="24"/>
        </w:rPr>
      </w:pPr>
      <w:r w:rsidRPr="00304A7B">
        <w:rPr>
          <w:rFonts w:cs="Times New Roman"/>
          <w:sz w:val="24"/>
          <w:szCs w:val="24"/>
        </w:rPr>
        <w:t xml:space="preserve">Skills and strategies are taught/reviewed connected to a published text, teacher written text or student written text whenever possible ensuring the transfer of skills to authentic application. </w:t>
      </w:r>
    </w:p>
    <w:p w:rsidR="008378D3" w:rsidRPr="00304A7B" w:rsidRDefault="008378D3" w:rsidP="008378D3">
      <w:pPr>
        <w:numPr>
          <w:ilvl w:val="0"/>
          <w:numId w:val="1"/>
        </w:numPr>
        <w:spacing w:after="0" w:line="240" w:lineRule="auto"/>
        <w:rPr>
          <w:rFonts w:cs="Times New Roman"/>
          <w:sz w:val="24"/>
          <w:szCs w:val="24"/>
        </w:rPr>
      </w:pPr>
      <w:r w:rsidRPr="00304A7B">
        <w:rPr>
          <w:rFonts w:cs="Times New Roman"/>
          <w:sz w:val="24"/>
          <w:szCs w:val="24"/>
        </w:rPr>
        <w:t xml:space="preserve">Mentor texts are often used to illustrate exemplary author’s craft (Text may be one that was also used for reading instruction). </w:t>
      </w:r>
    </w:p>
    <w:p w:rsidR="008378D3" w:rsidRPr="00304A7B" w:rsidRDefault="008378D3" w:rsidP="008378D3">
      <w:pPr>
        <w:numPr>
          <w:ilvl w:val="0"/>
          <w:numId w:val="1"/>
        </w:numPr>
        <w:spacing w:after="0" w:line="240" w:lineRule="auto"/>
        <w:rPr>
          <w:rFonts w:cs="Times New Roman"/>
          <w:sz w:val="24"/>
          <w:szCs w:val="24"/>
        </w:rPr>
      </w:pPr>
      <w:r w:rsidRPr="00304A7B">
        <w:rPr>
          <w:rFonts w:cs="Times New Roman"/>
          <w:sz w:val="24"/>
          <w:szCs w:val="24"/>
        </w:rPr>
        <w:t>There is a balance of 30% narrative, 35% informational text, and 35% opinion writing emphasized. (These may be part of a unit of study such as a GLAD or district unit or authentically embedded in ELA tasks)</w:t>
      </w:r>
    </w:p>
    <w:p w:rsidR="008378D3" w:rsidRPr="00304A7B" w:rsidRDefault="008378D3" w:rsidP="008378D3">
      <w:pPr>
        <w:numPr>
          <w:ilvl w:val="0"/>
          <w:numId w:val="1"/>
        </w:numPr>
        <w:spacing w:after="0" w:line="240" w:lineRule="auto"/>
        <w:rPr>
          <w:rFonts w:cs="Times New Roman"/>
          <w:sz w:val="24"/>
          <w:szCs w:val="24"/>
        </w:rPr>
      </w:pPr>
      <w:r w:rsidRPr="00304A7B">
        <w:rPr>
          <w:rFonts w:cs="Times New Roman"/>
          <w:sz w:val="24"/>
          <w:szCs w:val="24"/>
        </w:rPr>
        <w:t>There is a balance of longer units of study and short writing projects.</w:t>
      </w:r>
    </w:p>
    <w:p w:rsidR="008378D3" w:rsidRPr="00304A7B" w:rsidRDefault="008378D3" w:rsidP="008378D3">
      <w:pPr>
        <w:numPr>
          <w:ilvl w:val="0"/>
          <w:numId w:val="1"/>
        </w:numPr>
        <w:spacing w:after="0" w:line="240" w:lineRule="auto"/>
        <w:rPr>
          <w:rFonts w:cs="Times New Roman"/>
          <w:sz w:val="24"/>
          <w:szCs w:val="24"/>
        </w:rPr>
      </w:pPr>
      <w:r w:rsidRPr="00304A7B">
        <w:rPr>
          <w:rFonts w:cs="Times New Roman"/>
          <w:sz w:val="24"/>
          <w:szCs w:val="24"/>
        </w:rPr>
        <w:t>Topic, audience, and purpose are always considered to engage students in authentic, highly motivating writing experiences.</w:t>
      </w:r>
    </w:p>
    <w:p w:rsidR="008378D3" w:rsidRPr="00304A7B" w:rsidRDefault="008378D3" w:rsidP="008378D3">
      <w:pPr>
        <w:numPr>
          <w:ilvl w:val="0"/>
          <w:numId w:val="1"/>
        </w:numPr>
        <w:spacing w:after="0" w:line="240" w:lineRule="auto"/>
        <w:rPr>
          <w:rFonts w:cs="Times New Roman"/>
          <w:sz w:val="24"/>
          <w:szCs w:val="24"/>
        </w:rPr>
      </w:pPr>
      <w:r w:rsidRPr="00304A7B">
        <w:rPr>
          <w:rFonts w:cs="Times New Roman"/>
          <w:sz w:val="24"/>
          <w:szCs w:val="24"/>
        </w:rPr>
        <w:t>The teacher uses strategies to ensure all students are engaged in the learning as evidenced by student participation.</w:t>
      </w:r>
    </w:p>
    <w:p w:rsidR="008378D3" w:rsidRPr="00304A7B" w:rsidRDefault="008378D3" w:rsidP="008378D3">
      <w:pPr>
        <w:numPr>
          <w:ilvl w:val="0"/>
          <w:numId w:val="1"/>
        </w:numPr>
        <w:spacing w:after="0" w:line="240" w:lineRule="auto"/>
        <w:rPr>
          <w:rFonts w:cs="Times New Roman"/>
          <w:sz w:val="24"/>
          <w:szCs w:val="24"/>
        </w:rPr>
      </w:pPr>
      <w:r w:rsidRPr="00304A7B">
        <w:rPr>
          <w:rFonts w:cs="Times New Roman"/>
          <w:sz w:val="24"/>
          <w:szCs w:val="24"/>
        </w:rPr>
        <w:t>Listening and speaking standards are addressed in every lesson as students turn and talk, participate in discussions, and interact with the learning in meaningful ways.</w:t>
      </w:r>
    </w:p>
    <w:p w:rsidR="008378D3" w:rsidRPr="00304A7B" w:rsidRDefault="008378D3" w:rsidP="008378D3">
      <w:pPr>
        <w:numPr>
          <w:ilvl w:val="0"/>
          <w:numId w:val="1"/>
        </w:numPr>
        <w:spacing w:after="0" w:line="240" w:lineRule="auto"/>
        <w:rPr>
          <w:rFonts w:cs="Times New Roman"/>
          <w:sz w:val="24"/>
          <w:szCs w:val="24"/>
        </w:rPr>
      </w:pPr>
      <w:r w:rsidRPr="00304A7B">
        <w:rPr>
          <w:rFonts w:cs="Times New Roman"/>
          <w:sz w:val="24"/>
          <w:szCs w:val="24"/>
        </w:rPr>
        <w:t>Language standards are addressed though the creating and editing of text.</w:t>
      </w:r>
    </w:p>
    <w:p w:rsidR="008378D3" w:rsidRDefault="008378D3" w:rsidP="008378D3">
      <w:pPr>
        <w:pStyle w:val="ListParagraph"/>
        <w:ind w:left="0"/>
        <w:rPr>
          <w:rFonts w:ascii="Times New Roman" w:hAnsi="Times New Roman" w:cs="Times New Roman"/>
          <w:b/>
          <w:sz w:val="24"/>
          <w:szCs w:val="24"/>
          <w:u w:val="single"/>
        </w:rPr>
      </w:pPr>
    </w:p>
    <w:p w:rsidR="008378D3" w:rsidRDefault="008378D3" w:rsidP="008378D3">
      <w:pPr>
        <w:pStyle w:val="ListParagraph"/>
        <w:ind w:left="0"/>
        <w:rPr>
          <w:rFonts w:ascii="Times New Roman" w:hAnsi="Times New Roman" w:cs="Times New Roman"/>
          <w:b/>
          <w:sz w:val="24"/>
          <w:szCs w:val="24"/>
          <w:u w:val="single"/>
        </w:rPr>
      </w:pPr>
    </w:p>
    <w:p w:rsidR="008378D3" w:rsidRDefault="008378D3" w:rsidP="008378D3">
      <w:pPr>
        <w:pStyle w:val="ListParagraph"/>
        <w:ind w:left="0"/>
        <w:rPr>
          <w:rFonts w:ascii="Times New Roman" w:hAnsi="Times New Roman" w:cs="Times New Roman"/>
          <w:b/>
          <w:sz w:val="24"/>
          <w:szCs w:val="24"/>
          <w:u w:val="single"/>
        </w:rPr>
      </w:pPr>
    </w:p>
    <w:p w:rsidR="008378D3" w:rsidRDefault="008378D3" w:rsidP="008378D3">
      <w:pPr>
        <w:pStyle w:val="ListParagraph"/>
        <w:ind w:left="0"/>
        <w:rPr>
          <w:rFonts w:ascii="Times New Roman" w:hAnsi="Times New Roman" w:cs="Times New Roman"/>
          <w:b/>
          <w:sz w:val="24"/>
          <w:szCs w:val="24"/>
          <w:u w:val="single"/>
        </w:rPr>
      </w:pPr>
    </w:p>
    <w:p w:rsidR="008378D3" w:rsidRDefault="008378D3" w:rsidP="008378D3">
      <w:pPr>
        <w:pStyle w:val="NoSpacing"/>
        <w:jc w:val="center"/>
        <w:rPr>
          <w:rFonts w:cs="Times New Roman"/>
          <w:b/>
          <w:sz w:val="32"/>
          <w:szCs w:val="24"/>
        </w:rPr>
      </w:pPr>
      <w:r>
        <w:rPr>
          <w:rFonts w:cs="Times New Roman"/>
          <w:b/>
          <w:sz w:val="32"/>
          <w:szCs w:val="24"/>
        </w:rPr>
        <w:lastRenderedPageBreak/>
        <w:t>Menu 6: Small Group Writing</w:t>
      </w:r>
      <w:bookmarkStart w:id="0" w:name="_GoBack"/>
      <w:bookmarkEnd w:id="0"/>
    </w:p>
    <w:p w:rsidR="008378D3" w:rsidRPr="001B02B8" w:rsidRDefault="008378D3" w:rsidP="008378D3">
      <w:pPr>
        <w:pStyle w:val="NoSpacing"/>
        <w:jc w:val="center"/>
        <w:rPr>
          <w:rFonts w:cs="Times New Roman"/>
          <w:b/>
          <w:sz w:val="24"/>
          <w:szCs w:val="24"/>
        </w:rPr>
      </w:pPr>
    </w:p>
    <w:tbl>
      <w:tblPr>
        <w:tblStyle w:val="TableGrid"/>
        <w:tblW w:w="9812" w:type="dxa"/>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192"/>
        <w:gridCol w:w="3192"/>
        <w:gridCol w:w="3428"/>
      </w:tblGrid>
      <w:tr w:rsidR="008378D3" w:rsidRPr="00304A7B" w:rsidTr="00BE0239">
        <w:trPr>
          <w:jc w:val="center"/>
        </w:trPr>
        <w:tc>
          <w:tcPr>
            <w:tcW w:w="3192" w:type="dxa"/>
            <w:tcBorders>
              <w:top w:val="single" w:sz="18" w:space="0" w:color="000000" w:themeColor="text1"/>
              <w:bottom w:val="single" w:sz="18" w:space="0" w:color="000000" w:themeColor="text1"/>
            </w:tcBorders>
            <w:shd w:val="clear" w:color="auto" w:fill="95B3D7" w:themeFill="accent1" w:themeFillTint="99"/>
            <w:vAlign w:val="center"/>
          </w:tcPr>
          <w:p w:rsidR="008378D3" w:rsidRPr="00304A7B" w:rsidRDefault="008378D3" w:rsidP="00BE0239">
            <w:pPr>
              <w:jc w:val="center"/>
              <w:rPr>
                <w:rFonts w:cs="Times New Roman"/>
                <w:sz w:val="24"/>
                <w:szCs w:val="24"/>
              </w:rPr>
            </w:pPr>
            <w:r w:rsidRPr="00304A7B">
              <w:rPr>
                <w:rFonts w:cs="Times New Roman"/>
                <w:sz w:val="24"/>
                <w:szCs w:val="24"/>
              </w:rPr>
              <w:t>Guided Writing Group</w:t>
            </w:r>
            <w:r>
              <w:rPr>
                <w:rFonts w:cs="Times New Roman"/>
                <w:sz w:val="24"/>
                <w:szCs w:val="24"/>
              </w:rPr>
              <w:t xml:space="preserve"> (pg.54)</w:t>
            </w:r>
          </w:p>
        </w:tc>
        <w:tc>
          <w:tcPr>
            <w:tcW w:w="3192" w:type="dxa"/>
            <w:tcBorders>
              <w:top w:val="single" w:sz="18" w:space="0" w:color="000000" w:themeColor="text1"/>
              <w:bottom w:val="single" w:sz="18" w:space="0" w:color="000000" w:themeColor="text1"/>
            </w:tcBorders>
            <w:shd w:val="clear" w:color="auto" w:fill="FDE9D9" w:themeFill="accent6" w:themeFillTint="33"/>
            <w:vAlign w:val="center"/>
          </w:tcPr>
          <w:p w:rsidR="008378D3" w:rsidRPr="00304A7B" w:rsidRDefault="008378D3" w:rsidP="00BE0239">
            <w:pPr>
              <w:jc w:val="center"/>
              <w:rPr>
                <w:rFonts w:cs="Times New Roman"/>
                <w:sz w:val="24"/>
                <w:szCs w:val="24"/>
              </w:rPr>
            </w:pPr>
            <w:r w:rsidRPr="00304A7B">
              <w:rPr>
                <w:rFonts w:cs="Times New Roman"/>
                <w:sz w:val="24"/>
                <w:szCs w:val="24"/>
              </w:rPr>
              <w:t>Peer partnership writing, revising, editing</w:t>
            </w:r>
            <w:r>
              <w:rPr>
                <w:rFonts w:cs="Times New Roman"/>
                <w:sz w:val="24"/>
                <w:szCs w:val="24"/>
              </w:rPr>
              <w:t xml:space="preserve"> (pg.43)</w:t>
            </w:r>
          </w:p>
        </w:tc>
        <w:tc>
          <w:tcPr>
            <w:tcW w:w="3428" w:type="dxa"/>
            <w:tcBorders>
              <w:top w:val="single" w:sz="18" w:space="0" w:color="000000" w:themeColor="text1"/>
              <w:bottom w:val="single" w:sz="18" w:space="0" w:color="000000" w:themeColor="text1"/>
            </w:tcBorders>
            <w:shd w:val="clear" w:color="auto" w:fill="CCC0D9" w:themeFill="accent4" w:themeFillTint="66"/>
            <w:vAlign w:val="center"/>
          </w:tcPr>
          <w:p w:rsidR="008378D3" w:rsidRPr="00304A7B" w:rsidRDefault="008378D3" w:rsidP="00BE0239">
            <w:pPr>
              <w:jc w:val="center"/>
              <w:rPr>
                <w:rFonts w:cs="Times New Roman"/>
                <w:sz w:val="24"/>
                <w:szCs w:val="24"/>
              </w:rPr>
            </w:pPr>
            <w:r w:rsidRPr="00304A7B">
              <w:rPr>
                <w:rFonts w:cs="Times New Roman"/>
                <w:sz w:val="24"/>
                <w:szCs w:val="24"/>
              </w:rPr>
              <w:t>Topic/Genre Writing Group- an extension to the Topic/Genre Reading Group</w:t>
            </w:r>
            <w:r>
              <w:rPr>
                <w:rFonts w:cs="Times New Roman"/>
                <w:sz w:val="24"/>
                <w:szCs w:val="24"/>
              </w:rPr>
              <w:t xml:space="preserve"> (pg.40)</w:t>
            </w:r>
          </w:p>
        </w:tc>
      </w:tr>
    </w:tbl>
    <w:p w:rsidR="008378D3" w:rsidRPr="00304A7B" w:rsidRDefault="008378D3" w:rsidP="008378D3">
      <w:pPr>
        <w:spacing w:after="0" w:line="240" w:lineRule="auto"/>
        <w:rPr>
          <w:rFonts w:cs="Times New Roman"/>
          <w:i/>
          <w:sz w:val="24"/>
          <w:szCs w:val="24"/>
          <w:u w:val="single"/>
        </w:rPr>
      </w:pPr>
    </w:p>
    <w:p w:rsidR="008378D3" w:rsidRPr="00304A7B" w:rsidRDefault="008378D3" w:rsidP="008378D3">
      <w:pPr>
        <w:rPr>
          <w:rFonts w:cs="Times New Roman"/>
          <w:b/>
          <w:sz w:val="24"/>
          <w:szCs w:val="24"/>
        </w:rPr>
      </w:pPr>
      <w:r w:rsidRPr="00304A7B">
        <w:rPr>
          <w:rFonts w:cs="Times New Roman"/>
          <w:b/>
          <w:sz w:val="24"/>
          <w:szCs w:val="24"/>
        </w:rPr>
        <w:t>Key attributes of Small Group Writing</w:t>
      </w:r>
    </w:p>
    <w:p w:rsidR="008378D3" w:rsidRPr="00304A7B" w:rsidRDefault="008378D3" w:rsidP="008378D3">
      <w:pPr>
        <w:numPr>
          <w:ilvl w:val="0"/>
          <w:numId w:val="2"/>
        </w:numPr>
        <w:spacing w:after="0" w:line="240" w:lineRule="auto"/>
        <w:rPr>
          <w:rFonts w:cs="Times New Roman"/>
          <w:sz w:val="24"/>
          <w:szCs w:val="24"/>
        </w:rPr>
      </w:pPr>
      <w:r w:rsidRPr="00304A7B">
        <w:rPr>
          <w:rFonts w:cs="Times New Roman"/>
          <w:sz w:val="24"/>
          <w:szCs w:val="24"/>
        </w:rPr>
        <w:t>Students are grouped based on a similar instructional need as determined by prior assessment (formal and/or informal).</w:t>
      </w:r>
    </w:p>
    <w:p w:rsidR="008378D3" w:rsidRPr="00304A7B" w:rsidRDefault="008378D3" w:rsidP="008378D3">
      <w:pPr>
        <w:numPr>
          <w:ilvl w:val="0"/>
          <w:numId w:val="2"/>
        </w:numPr>
        <w:spacing w:after="0" w:line="240" w:lineRule="auto"/>
        <w:rPr>
          <w:rFonts w:cs="Times New Roman"/>
          <w:sz w:val="24"/>
          <w:szCs w:val="24"/>
        </w:rPr>
      </w:pPr>
      <w:r w:rsidRPr="00304A7B">
        <w:rPr>
          <w:rFonts w:cs="Times New Roman"/>
          <w:sz w:val="24"/>
          <w:szCs w:val="24"/>
        </w:rPr>
        <w:t>The lesson focus, skill, strategy or standard is explicitly stated or posted.</w:t>
      </w:r>
    </w:p>
    <w:p w:rsidR="008378D3" w:rsidRPr="00304A7B" w:rsidRDefault="008378D3" w:rsidP="008378D3">
      <w:pPr>
        <w:numPr>
          <w:ilvl w:val="0"/>
          <w:numId w:val="2"/>
        </w:numPr>
        <w:spacing w:after="0" w:line="240" w:lineRule="auto"/>
        <w:rPr>
          <w:rFonts w:cs="Times New Roman"/>
          <w:sz w:val="24"/>
          <w:szCs w:val="24"/>
        </w:rPr>
      </w:pPr>
      <w:r w:rsidRPr="00304A7B">
        <w:rPr>
          <w:rFonts w:cs="Times New Roman"/>
          <w:sz w:val="24"/>
          <w:szCs w:val="24"/>
        </w:rPr>
        <w:t>Groups are small (no more than 5) and flexible.</w:t>
      </w:r>
    </w:p>
    <w:p w:rsidR="008378D3" w:rsidRPr="00304A7B" w:rsidRDefault="008378D3" w:rsidP="008378D3">
      <w:pPr>
        <w:numPr>
          <w:ilvl w:val="0"/>
          <w:numId w:val="2"/>
        </w:numPr>
        <w:spacing w:after="0" w:line="240" w:lineRule="auto"/>
        <w:rPr>
          <w:rFonts w:cs="Times New Roman"/>
          <w:sz w:val="24"/>
          <w:szCs w:val="24"/>
        </w:rPr>
      </w:pPr>
      <w:r w:rsidRPr="00304A7B">
        <w:rPr>
          <w:rFonts w:cs="Times New Roman"/>
          <w:sz w:val="24"/>
          <w:szCs w:val="24"/>
        </w:rPr>
        <w:t>Writing partnerships are an integral part of the writer’s workshop as students brainstorm ideas, orally communicate their stories, partner edit, or give feedback for revision.</w:t>
      </w:r>
    </w:p>
    <w:p w:rsidR="008378D3" w:rsidRPr="00304A7B" w:rsidRDefault="008378D3" w:rsidP="008378D3">
      <w:pPr>
        <w:pStyle w:val="NoSpacing"/>
        <w:numPr>
          <w:ilvl w:val="0"/>
          <w:numId w:val="4"/>
        </w:numPr>
        <w:rPr>
          <w:rFonts w:cs="Times New Roman"/>
          <w:sz w:val="24"/>
          <w:szCs w:val="24"/>
        </w:rPr>
      </w:pPr>
      <w:r w:rsidRPr="00304A7B">
        <w:rPr>
          <w:rFonts w:cs="Times New Roman"/>
          <w:sz w:val="24"/>
          <w:szCs w:val="24"/>
        </w:rPr>
        <w:t>Listening and speaking standards are addressed in small group writing sessions as students turn and talk, participate in discussions, and interact with each other in meaningful ways.</w:t>
      </w:r>
    </w:p>
    <w:p w:rsidR="008378D3" w:rsidRPr="00304A7B" w:rsidRDefault="008378D3" w:rsidP="008378D3">
      <w:pPr>
        <w:numPr>
          <w:ilvl w:val="0"/>
          <w:numId w:val="4"/>
        </w:numPr>
        <w:spacing w:after="0" w:line="240" w:lineRule="auto"/>
        <w:rPr>
          <w:rFonts w:cs="Times New Roman"/>
          <w:sz w:val="24"/>
          <w:szCs w:val="24"/>
        </w:rPr>
      </w:pPr>
      <w:r w:rsidRPr="00304A7B">
        <w:rPr>
          <w:rFonts w:cs="Times New Roman"/>
          <w:sz w:val="24"/>
          <w:szCs w:val="24"/>
        </w:rPr>
        <w:t>Language standards are addressed though the creating and editing of text.</w:t>
      </w:r>
    </w:p>
    <w:p w:rsidR="008378D3" w:rsidRPr="009170D2" w:rsidRDefault="008378D3" w:rsidP="008378D3">
      <w:pPr>
        <w:pStyle w:val="NoSpacing"/>
        <w:ind w:left="720"/>
        <w:rPr>
          <w:rFonts w:ascii="Times New Roman" w:hAnsi="Times New Roman" w:cs="Times New Roman"/>
          <w:sz w:val="24"/>
          <w:szCs w:val="24"/>
        </w:rPr>
      </w:pPr>
    </w:p>
    <w:p w:rsidR="008378D3" w:rsidRDefault="008378D3" w:rsidP="008378D3">
      <w:pPr>
        <w:pStyle w:val="NoSpacing"/>
        <w:jc w:val="center"/>
        <w:rPr>
          <w:rFonts w:cs="Times New Roman"/>
          <w:b/>
          <w:sz w:val="32"/>
          <w:szCs w:val="24"/>
        </w:rPr>
      </w:pPr>
      <w:r>
        <w:rPr>
          <w:rFonts w:cs="Times New Roman"/>
          <w:b/>
          <w:sz w:val="32"/>
          <w:szCs w:val="24"/>
        </w:rPr>
        <w:t>Menu 7: Independent Writing</w:t>
      </w:r>
    </w:p>
    <w:p w:rsidR="008378D3" w:rsidRPr="001B02B8" w:rsidRDefault="008378D3" w:rsidP="008378D3">
      <w:pPr>
        <w:pStyle w:val="NoSpacing"/>
        <w:jc w:val="center"/>
        <w:rPr>
          <w:rFonts w:cs="Times New Roman"/>
          <w:b/>
          <w:sz w:val="24"/>
          <w:szCs w:val="24"/>
        </w:rPr>
      </w:pPr>
    </w:p>
    <w:tbl>
      <w:tblPr>
        <w:tblStyle w:val="TableGrid"/>
        <w:tblW w:w="0" w:type="auto"/>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456"/>
        <w:gridCol w:w="3056"/>
        <w:gridCol w:w="3064"/>
      </w:tblGrid>
      <w:tr w:rsidR="008378D3" w:rsidRPr="00304A7B" w:rsidTr="00BE0239">
        <w:trPr>
          <w:jc w:val="center"/>
        </w:trPr>
        <w:tc>
          <w:tcPr>
            <w:tcW w:w="3456" w:type="dxa"/>
            <w:tcBorders>
              <w:top w:val="single" w:sz="18" w:space="0" w:color="000000" w:themeColor="text1"/>
              <w:bottom w:val="single" w:sz="6" w:space="0" w:color="000000" w:themeColor="text1"/>
            </w:tcBorders>
            <w:shd w:val="clear" w:color="auto" w:fill="95B3D7" w:themeFill="accent1" w:themeFillTint="99"/>
            <w:vAlign w:val="center"/>
          </w:tcPr>
          <w:p w:rsidR="008378D3" w:rsidRPr="00304A7B" w:rsidRDefault="008378D3" w:rsidP="00BE0239">
            <w:pPr>
              <w:jc w:val="center"/>
              <w:rPr>
                <w:rFonts w:cs="Times New Roman"/>
                <w:sz w:val="24"/>
                <w:szCs w:val="24"/>
              </w:rPr>
            </w:pPr>
            <w:r w:rsidRPr="00304A7B">
              <w:rPr>
                <w:rFonts w:cs="Times New Roman"/>
                <w:sz w:val="24"/>
                <w:szCs w:val="24"/>
              </w:rPr>
              <w:t>Independent writing aligned to audience, topic, and purpose</w:t>
            </w:r>
          </w:p>
          <w:p w:rsidR="008378D3" w:rsidRPr="00304A7B" w:rsidRDefault="008378D3" w:rsidP="00BE0239">
            <w:pPr>
              <w:jc w:val="center"/>
              <w:rPr>
                <w:rFonts w:cs="Times New Roman"/>
                <w:sz w:val="24"/>
                <w:szCs w:val="24"/>
              </w:rPr>
            </w:pPr>
            <w:r w:rsidRPr="00304A7B">
              <w:rPr>
                <w:rFonts w:cs="Times New Roman"/>
                <w:sz w:val="24"/>
                <w:szCs w:val="24"/>
              </w:rPr>
              <w:t>Pre-write/Draft Revise/Edit/Publish</w:t>
            </w:r>
          </w:p>
        </w:tc>
        <w:tc>
          <w:tcPr>
            <w:tcW w:w="3056" w:type="dxa"/>
            <w:tcBorders>
              <w:top w:val="single" w:sz="18" w:space="0" w:color="000000" w:themeColor="text1"/>
              <w:bottom w:val="single" w:sz="6" w:space="0" w:color="000000" w:themeColor="text1"/>
            </w:tcBorders>
            <w:shd w:val="clear" w:color="auto" w:fill="FDE9D9" w:themeFill="accent6" w:themeFillTint="33"/>
            <w:vAlign w:val="center"/>
          </w:tcPr>
          <w:p w:rsidR="008378D3" w:rsidRPr="00304A7B" w:rsidRDefault="008378D3" w:rsidP="00BE0239">
            <w:pPr>
              <w:pStyle w:val="ListParagraph"/>
              <w:ind w:left="0"/>
              <w:jc w:val="center"/>
              <w:rPr>
                <w:rFonts w:cs="Times New Roman"/>
                <w:sz w:val="24"/>
                <w:szCs w:val="24"/>
              </w:rPr>
            </w:pPr>
            <w:r w:rsidRPr="00304A7B">
              <w:rPr>
                <w:rFonts w:cs="Times New Roman"/>
                <w:sz w:val="24"/>
                <w:szCs w:val="24"/>
              </w:rPr>
              <w:t>Research a topic, genre, or author as a springboard for writing</w:t>
            </w:r>
          </w:p>
        </w:tc>
        <w:tc>
          <w:tcPr>
            <w:tcW w:w="3064" w:type="dxa"/>
            <w:vMerge w:val="restart"/>
            <w:tcBorders>
              <w:top w:val="single" w:sz="18" w:space="0" w:color="000000" w:themeColor="text1"/>
              <w:bottom w:val="single" w:sz="18" w:space="0" w:color="000000" w:themeColor="text1"/>
            </w:tcBorders>
            <w:shd w:val="clear" w:color="auto" w:fill="CCC0D9" w:themeFill="accent4" w:themeFillTint="66"/>
            <w:vAlign w:val="center"/>
          </w:tcPr>
          <w:p w:rsidR="008378D3" w:rsidRPr="00304A7B" w:rsidRDefault="008378D3" w:rsidP="00BE0239">
            <w:pPr>
              <w:pStyle w:val="ListParagraph"/>
              <w:ind w:left="0"/>
              <w:jc w:val="center"/>
              <w:rPr>
                <w:rFonts w:cs="Times New Roman"/>
                <w:sz w:val="24"/>
                <w:szCs w:val="24"/>
              </w:rPr>
            </w:pPr>
            <w:r w:rsidRPr="00304A7B">
              <w:rPr>
                <w:rFonts w:cs="Times New Roman"/>
                <w:sz w:val="24"/>
                <w:szCs w:val="24"/>
              </w:rPr>
              <w:t>Experimenting with author’s craft based on a mentor text</w:t>
            </w:r>
          </w:p>
        </w:tc>
      </w:tr>
      <w:tr w:rsidR="008378D3" w:rsidRPr="00304A7B" w:rsidTr="00BE0239">
        <w:trPr>
          <w:jc w:val="center"/>
        </w:trPr>
        <w:tc>
          <w:tcPr>
            <w:tcW w:w="3456" w:type="dxa"/>
            <w:tcBorders>
              <w:top w:val="single" w:sz="6" w:space="0" w:color="000000" w:themeColor="text1"/>
              <w:bottom w:val="single" w:sz="18" w:space="0" w:color="000000" w:themeColor="text1"/>
            </w:tcBorders>
            <w:shd w:val="clear" w:color="auto" w:fill="95B3D7" w:themeFill="accent1" w:themeFillTint="99"/>
            <w:vAlign w:val="center"/>
          </w:tcPr>
          <w:p w:rsidR="008378D3" w:rsidRPr="00304A7B" w:rsidRDefault="008378D3" w:rsidP="00BE0239">
            <w:pPr>
              <w:pStyle w:val="ListParagraph"/>
              <w:ind w:left="0"/>
              <w:jc w:val="center"/>
              <w:rPr>
                <w:rFonts w:cs="Times New Roman"/>
                <w:sz w:val="24"/>
                <w:szCs w:val="24"/>
              </w:rPr>
            </w:pPr>
            <w:r w:rsidRPr="00304A7B">
              <w:rPr>
                <w:rFonts w:cs="Times New Roman"/>
                <w:sz w:val="24"/>
                <w:szCs w:val="24"/>
              </w:rPr>
              <w:t>Journaling/free write</w:t>
            </w:r>
          </w:p>
        </w:tc>
        <w:tc>
          <w:tcPr>
            <w:tcW w:w="3056" w:type="dxa"/>
            <w:tcBorders>
              <w:top w:val="single" w:sz="6" w:space="0" w:color="000000" w:themeColor="text1"/>
              <w:bottom w:val="single" w:sz="18" w:space="0" w:color="000000" w:themeColor="text1"/>
            </w:tcBorders>
            <w:shd w:val="clear" w:color="auto" w:fill="FDE9D9" w:themeFill="accent6" w:themeFillTint="33"/>
            <w:vAlign w:val="center"/>
          </w:tcPr>
          <w:p w:rsidR="008378D3" w:rsidRPr="00304A7B" w:rsidRDefault="008378D3" w:rsidP="00BE0239">
            <w:pPr>
              <w:pStyle w:val="ListParagraph"/>
              <w:ind w:left="0"/>
              <w:jc w:val="center"/>
              <w:rPr>
                <w:rFonts w:cs="Times New Roman"/>
                <w:sz w:val="24"/>
                <w:szCs w:val="24"/>
              </w:rPr>
            </w:pPr>
            <w:r w:rsidRPr="00304A7B">
              <w:rPr>
                <w:rFonts w:cs="Times New Roman"/>
                <w:sz w:val="24"/>
                <w:szCs w:val="24"/>
              </w:rPr>
              <w:t>Development of illustrations or text features to support writing</w:t>
            </w:r>
          </w:p>
        </w:tc>
        <w:tc>
          <w:tcPr>
            <w:tcW w:w="3064" w:type="dxa"/>
            <w:vMerge/>
            <w:tcBorders>
              <w:top w:val="single" w:sz="6" w:space="0" w:color="000000" w:themeColor="text1"/>
              <w:bottom w:val="single" w:sz="18" w:space="0" w:color="000000" w:themeColor="text1"/>
            </w:tcBorders>
            <w:shd w:val="clear" w:color="auto" w:fill="CCC0D9" w:themeFill="accent4" w:themeFillTint="66"/>
            <w:vAlign w:val="center"/>
          </w:tcPr>
          <w:p w:rsidR="008378D3" w:rsidRPr="00304A7B" w:rsidRDefault="008378D3" w:rsidP="00BE0239">
            <w:pPr>
              <w:jc w:val="center"/>
              <w:rPr>
                <w:rFonts w:cs="Times New Roman"/>
                <w:sz w:val="24"/>
                <w:szCs w:val="24"/>
              </w:rPr>
            </w:pPr>
          </w:p>
        </w:tc>
      </w:tr>
    </w:tbl>
    <w:p w:rsidR="008378D3" w:rsidRDefault="008378D3" w:rsidP="008378D3">
      <w:pPr>
        <w:spacing w:after="0" w:line="240" w:lineRule="auto"/>
        <w:ind w:left="720"/>
        <w:rPr>
          <w:rFonts w:ascii="Times New Roman" w:hAnsi="Times New Roman" w:cs="Times New Roman"/>
          <w:sz w:val="24"/>
          <w:szCs w:val="24"/>
        </w:rPr>
      </w:pPr>
    </w:p>
    <w:p w:rsidR="008378D3" w:rsidRPr="001B02B8" w:rsidRDefault="008378D3" w:rsidP="008378D3">
      <w:pPr>
        <w:rPr>
          <w:rFonts w:cs="Times New Roman"/>
          <w:b/>
          <w:sz w:val="24"/>
          <w:szCs w:val="24"/>
        </w:rPr>
      </w:pPr>
      <w:r w:rsidRPr="001B02B8">
        <w:rPr>
          <w:rFonts w:cs="Times New Roman"/>
          <w:b/>
          <w:sz w:val="24"/>
          <w:szCs w:val="24"/>
        </w:rPr>
        <w:t>Key attributes of Independent Writing</w:t>
      </w:r>
      <w:r>
        <w:rPr>
          <w:rFonts w:cs="Times New Roman"/>
          <w:b/>
          <w:sz w:val="24"/>
          <w:szCs w:val="24"/>
        </w:rPr>
        <w:t xml:space="preserve"> (pg.55)</w:t>
      </w:r>
    </w:p>
    <w:p w:rsidR="008378D3" w:rsidRPr="001B02B8" w:rsidRDefault="008378D3" w:rsidP="008378D3">
      <w:pPr>
        <w:numPr>
          <w:ilvl w:val="0"/>
          <w:numId w:val="3"/>
        </w:numPr>
        <w:spacing w:after="0" w:line="240" w:lineRule="auto"/>
        <w:rPr>
          <w:rFonts w:cs="Times New Roman"/>
          <w:b/>
          <w:sz w:val="24"/>
          <w:szCs w:val="24"/>
        </w:rPr>
      </w:pPr>
      <w:r w:rsidRPr="001B02B8">
        <w:rPr>
          <w:rFonts w:cs="Times New Roman"/>
          <w:sz w:val="24"/>
          <w:szCs w:val="24"/>
        </w:rPr>
        <w:t xml:space="preserve">Children have time daily to write independently for extended periods of time. </w:t>
      </w:r>
    </w:p>
    <w:p w:rsidR="008378D3" w:rsidRPr="001B02B8" w:rsidRDefault="008378D3" w:rsidP="008378D3">
      <w:pPr>
        <w:numPr>
          <w:ilvl w:val="0"/>
          <w:numId w:val="3"/>
        </w:numPr>
        <w:spacing w:after="0" w:line="240" w:lineRule="auto"/>
        <w:rPr>
          <w:rFonts w:cs="Times New Roman"/>
          <w:sz w:val="24"/>
          <w:szCs w:val="24"/>
        </w:rPr>
      </w:pPr>
      <w:r w:rsidRPr="001B02B8">
        <w:rPr>
          <w:rFonts w:cs="Times New Roman"/>
          <w:color w:val="000000"/>
          <w:sz w:val="24"/>
          <w:szCs w:val="24"/>
        </w:rPr>
        <w:t>Students practice the strategies they have been taught or “try on” writing techniques they have learned about by studying mentor texts.</w:t>
      </w:r>
    </w:p>
    <w:p w:rsidR="008378D3" w:rsidRPr="001B02B8" w:rsidRDefault="008378D3" w:rsidP="008378D3">
      <w:pPr>
        <w:numPr>
          <w:ilvl w:val="0"/>
          <w:numId w:val="3"/>
        </w:numPr>
        <w:spacing w:after="0" w:line="240" w:lineRule="auto"/>
        <w:rPr>
          <w:rFonts w:cs="Times New Roman"/>
          <w:sz w:val="24"/>
          <w:szCs w:val="24"/>
        </w:rPr>
      </w:pPr>
      <w:r w:rsidRPr="001B02B8">
        <w:rPr>
          <w:rFonts w:cs="Times New Roman"/>
          <w:color w:val="000000"/>
          <w:sz w:val="24"/>
          <w:szCs w:val="24"/>
        </w:rPr>
        <w:t>Resources created by teachers and students support independent work (for example word walls, name charts, letter &amp; sound charts, etc.).</w:t>
      </w:r>
    </w:p>
    <w:p w:rsidR="008378D3" w:rsidRPr="001B02B8" w:rsidRDefault="008378D3" w:rsidP="008378D3">
      <w:pPr>
        <w:numPr>
          <w:ilvl w:val="0"/>
          <w:numId w:val="3"/>
        </w:numPr>
        <w:spacing w:after="0" w:line="240" w:lineRule="auto"/>
        <w:rPr>
          <w:rFonts w:cs="Times New Roman"/>
          <w:sz w:val="24"/>
          <w:szCs w:val="24"/>
        </w:rPr>
      </w:pPr>
      <w:r w:rsidRPr="001B02B8">
        <w:rPr>
          <w:rFonts w:cs="Times New Roman"/>
          <w:color w:val="000000"/>
          <w:sz w:val="24"/>
          <w:szCs w:val="24"/>
        </w:rPr>
        <w:t>Students write texts in a variety of genres keeping a balance of narrative, informational, and opinion writing.</w:t>
      </w:r>
    </w:p>
    <w:p w:rsidR="008378D3" w:rsidRPr="001B02B8" w:rsidRDefault="008378D3" w:rsidP="008378D3">
      <w:pPr>
        <w:numPr>
          <w:ilvl w:val="0"/>
          <w:numId w:val="3"/>
        </w:numPr>
        <w:spacing w:after="0" w:line="240" w:lineRule="auto"/>
        <w:rPr>
          <w:rFonts w:cs="Times New Roman"/>
          <w:sz w:val="24"/>
          <w:szCs w:val="24"/>
        </w:rPr>
      </w:pPr>
      <w:r>
        <w:rPr>
          <w:rFonts w:cs="Times New Roman"/>
          <w:sz w:val="24"/>
          <w:szCs w:val="24"/>
        </w:rPr>
        <w:t xml:space="preserve">There is a balance of </w:t>
      </w:r>
      <w:r w:rsidRPr="001B02B8">
        <w:rPr>
          <w:rFonts w:cs="Times New Roman"/>
          <w:sz w:val="24"/>
          <w:szCs w:val="24"/>
        </w:rPr>
        <w:t>creating short writing pieces in draft form and taking others through the entire writing process.</w:t>
      </w:r>
    </w:p>
    <w:p w:rsidR="008378D3" w:rsidRPr="001B02B8" w:rsidRDefault="008378D3" w:rsidP="008378D3">
      <w:pPr>
        <w:numPr>
          <w:ilvl w:val="0"/>
          <w:numId w:val="3"/>
        </w:numPr>
        <w:spacing w:after="0" w:line="240" w:lineRule="auto"/>
        <w:rPr>
          <w:rFonts w:cs="Times New Roman"/>
          <w:sz w:val="24"/>
          <w:szCs w:val="24"/>
        </w:rPr>
      </w:pPr>
      <w:r w:rsidRPr="001B02B8">
        <w:rPr>
          <w:rFonts w:cs="Times New Roman"/>
          <w:color w:val="000000"/>
          <w:sz w:val="24"/>
          <w:szCs w:val="24"/>
        </w:rPr>
        <w:t>Illustrations and graphics are used to convey information and enhance writing.</w:t>
      </w:r>
    </w:p>
    <w:p w:rsidR="008378D3" w:rsidRPr="001B02B8" w:rsidRDefault="008378D3" w:rsidP="008378D3">
      <w:pPr>
        <w:numPr>
          <w:ilvl w:val="0"/>
          <w:numId w:val="3"/>
        </w:numPr>
        <w:spacing w:after="0" w:line="240" w:lineRule="auto"/>
        <w:rPr>
          <w:rFonts w:cs="Times New Roman"/>
          <w:sz w:val="24"/>
          <w:szCs w:val="24"/>
        </w:rPr>
      </w:pPr>
      <w:r w:rsidRPr="001B02B8">
        <w:rPr>
          <w:rFonts w:cs="Times New Roman"/>
          <w:color w:val="000000"/>
          <w:sz w:val="24"/>
          <w:szCs w:val="24"/>
        </w:rPr>
        <w:lastRenderedPageBreak/>
        <w:t>Writing is used as a tool across disciplines to capture new information, document thinking, and foster deeper learning.</w:t>
      </w:r>
    </w:p>
    <w:p w:rsidR="008378D3" w:rsidRDefault="008378D3" w:rsidP="008378D3">
      <w:pPr>
        <w:rPr>
          <w:rFonts w:ascii="Times New Roman" w:hAnsi="Times New Roman" w:cs="Times New Roman"/>
          <w:b/>
          <w:sz w:val="24"/>
          <w:szCs w:val="24"/>
          <w:u w:val="single"/>
        </w:rPr>
      </w:pPr>
    </w:p>
    <w:p w:rsidR="008378D3" w:rsidRDefault="008378D3" w:rsidP="008378D3">
      <w:pPr>
        <w:pStyle w:val="NoSpacing"/>
        <w:jc w:val="center"/>
        <w:rPr>
          <w:rFonts w:cs="Times New Roman"/>
          <w:b/>
          <w:sz w:val="32"/>
          <w:szCs w:val="24"/>
        </w:rPr>
      </w:pPr>
      <w:r>
        <w:rPr>
          <w:rFonts w:cs="Times New Roman"/>
          <w:b/>
          <w:sz w:val="32"/>
          <w:szCs w:val="24"/>
        </w:rPr>
        <w:t>Menu 8: One on One Conferring (Writing)</w:t>
      </w:r>
    </w:p>
    <w:p w:rsidR="008378D3" w:rsidRPr="001B02B8" w:rsidRDefault="008378D3" w:rsidP="008378D3">
      <w:pPr>
        <w:pStyle w:val="NoSpacing"/>
        <w:jc w:val="center"/>
        <w:rPr>
          <w:rFonts w:cs="Times New Roman"/>
          <w:b/>
          <w:sz w:val="24"/>
          <w:szCs w:val="24"/>
        </w:rPr>
      </w:pPr>
    </w:p>
    <w:tbl>
      <w:tblPr>
        <w:tblStyle w:val="TableGrid"/>
        <w:tblW w:w="0" w:type="auto"/>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194"/>
        <w:gridCol w:w="3218"/>
        <w:gridCol w:w="3164"/>
      </w:tblGrid>
      <w:tr w:rsidR="008378D3" w:rsidRPr="001B02B8" w:rsidTr="00BE0239">
        <w:trPr>
          <w:jc w:val="center"/>
        </w:trPr>
        <w:tc>
          <w:tcPr>
            <w:tcW w:w="3194" w:type="dxa"/>
            <w:tcBorders>
              <w:top w:val="single" w:sz="18" w:space="0" w:color="000000" w:themeColor="text1"/>
              <w:bottom w:val="single" w:sz="6" w:space="0" w:color="000000" w:themeColor="text1"/>
            </w:tcBorders>
            <w:shd w:val="clear" w:color="auto" w:fill="95B3D7" w:themeFill="accent1" w:themeFillTint="99"/>
          </w:tcPr>
          <w:p w:rsidR="008378D3" w:rsidRPr="001B02B8" w:rsidRDefault="008378D3" w:rsidP="00BE0239">
            <w:pPr>
              <w:jc w:val="center"/>
              <w:rPr>
                <w:rFonts w:cs="Times New Roman"/>
                <w:sz w:val="24"/>
                <w:szCs w:val="24"/>
              </w:rPr>
            </w:pPr>
            <w:r w:rsidRPr="001B02B8">
              <w:rPr>
                <w:rFonts w:cs="Times New Roman"/>
                <w:sz w:val="24"/>
                <w:szCs w:val="24"/>
              </w:rPr>
              <w:t>Assess writing for strengths and challenges</w:t>
            </w:r>
          </w:p>
        </w:tc>
        <w:tc>
          <w:tcPr>
            <w:tcW w:w="3218" w:type="dxa"/>
            <w:tcBorders>
              <w:top w:val="single" w:sz="18" w:space="0" w:color="000000" w:themeColor="text1"/>
              <w:bottom w:val="single" w:sz="6" w:space="0" w:color="000000" w:themeColor="text1"/>
            </w:tcBorders>
            <w:shd w:val="clear" w:color="auto" w:fill="FDE9D9" w:themeFill="accent6" w:themeFillTint="33"/>
          </w:tcPr>
          <w:p w:rsidR="008378D3" w:rsidRPr="001B02B8" w:rsidRDefault="008378D3" w:rsidP="00BE0239">
            <w:pPr>
              <w:jc w:val="center"/>
              <w:rPr>
                <w:rFonts w:cs="Times New Roman"/>
                <w:sz w:val="24"/>
                <w:szCs w:val="24"/>
              </w:rPr>
            </w:pPr>
            <w:r w:rsidRPr="001B02B8">
              <w:rPr>
                <w:rFonts w:cs="Times New Roman"/>
                <w:sz w:val="24"/>
                <w:szCs w:val="24"/>
              </w:rPr>
              <w:t>Coach for strategy/skill application</w:t>
            </w:r>
          </w:p>
        </w:tc>
        <w:tc>
          <w:tcPr>
            <w:tcW w:w="3164" w:type="dxa"/>
            <w:vMerge w:val="restart"/>
            <w:tcBorders>
              <w:top w:val="single" w:sz="18" w:space="0" w:color="000000" w:themeColor="text1"/>
              <w:bottom w:val="single" w:sz="18" w:space="0" w:color="000000" w:themeColor="text1"/>
            </w:tcBorders>
            <w:shd w:val="clear" w:color="auto" w:fill="CCC0D9" w:themeFill="accent4" w:themeFillTint="66"/>
            <w:vAlign w:val="center"/>
          </w:tcPr>
          <w:p w:rsidR="008378D3" w:rsidRPr="001B02B8" w:rsidRDefault="008378D3" w:rsidP="00BE0239">
            <w:pPr>
              <w:jc w:val="center"/>
              <w:rPr>
                <w:rFonts w:cs="Times New Roman"/>
                <w:sz w:val="24"/>
                <w:szCs w:val="24"/>
              </w:rPr>
            </w:pPr>
            <w:r w:rsidRPr="001B02B8">
              <w:rPr>
                <w:rFonts w:cs="Times New Roman"/>
                <w:sz w:val="24"/>
                <w:szCs w:val="24"/>
              </w:rPr>
              <w:t>Goal setting</w:t>
            </w:r>
          </w:p>
        </w:tc>
      </w:tr>
      <w:tr w:rsidR="008378D3" w:rsidRPr="001B02B8" w:rsidTr="00BE0239">
        <w:trPr>
          <w:jc w:val="center"/>
        </w:trPr>
        <w:tc>
          <w:tcPr>
            <w:tcW w:w="3194" w:type="dxa"/>
            <w:tcBorders>
              <w:top w:val="single" w:sz="6" w:space="0" w:color="000000" w:themeColor="text1"/>
              <w:bottom w:val="single" w:sz="18" w:space="0" w:color="000000" w:themeColor="text1"/>
            </w:tcBorders>
            <w:shd w:val="clear" w:color="auto" w:fill="95B3D7" w:themeFill="accent1" w:themeFillTint="99"/>
            <w:vAlign w:val="center"/>
          </w:tcPr>
          <w:p w:rsidR="008378D3" w:rsidRPr="001B02B8" w:rsidRDefault="008378D3" w:rsidP="00BE0239">
            <w:pPr>
              <w:jc w:val="center"/>
              <w:rPr>
                <w:rFonts w:cs="Times New Roman"/>
                <w:sz w:val="24"/>
                <w:szCs w:val="24"/>
              </w:rPr>
            </w:pPr>
            <w:r w:rsidRPr="001B02B8">
              <w:rPr>
                <w:rFonts w:cs="Times New Roman"/>
                <w:sz w:val="24"/>
                <w:szCs w:val="24"/>
              </w:rPr>
              <w:t>Provide immediate feedback on written work</w:t>
            </w:r>
          </w:p>
        </w:tc>
        <w:tc>
          <w:tcPr>
            <w:tcW w:w="3218" w:type="dxa"/>
            <w:tcBorders>
              <w:top w:val="single" w:sz="6" w:space="0" w:color="000000" w:themeColor="text1"/>
              <w:bottom w:val="single" w:sz="18" w:space="0" w:color="000000" w:themeColor="text1"/>
            </w:tcBorders>
            <w:shd w:val="clear" w:color="auto" w:fill="FDE9D9" w:themeFill="accent6" w:themeFillTint="33"/>
            <w:vAlign w:val="center"/>
          </w:tcPr>
          <w:p w:rsidR="008378D3" w:rsidRPr="001B02B8" w:rsidRDefault="008378D3" w:rsidP="00BE0239">
            <w:pPr>
              <w:jc w:val="center"/>
              <w:rPr>
                <w:rFonts w:cs="Times New Roman"/>
                <w:sz w:val="24"/>
                <w:szCs w:val="24"/>
              </w:rPr>
            </w:pPr>
            <w:r w:rsidRPr="001B02B8">
              <w:rPr>
                <w:rFonts w:cs="Times New Roman"/>
                <w:sz w:val="24"/>
                <w:szCs w:val="24"/>
              </w:rPr>
              <w:t>Individualized instruction</w:t>
            </w:r>
          </w:p>
        </w:tc>
        <w:tc>
          <w:tcPr>
            <w:tcW w:w="3164" w:type="dxa"/>
            <w:vMerge/>
            <w:tcBorders>
              <w:top w:val="single" w:sz="6" w:space="0" w:color="000000" w:themeColor="text1"/>
              <w:bottom w:val="single" w:sz="18" w:space="0" w:color="000000" w:themeColor="text1"/>
            </w:tcBorders>
            <w:shd w:val="clear" w:color="auto" w:fill="CCC0D9" w:themeFill="accent4" w:themeFillTint="66"/>
          </w:tcPr>
          <w:p w:rsidR="008378D3" w:rsidRPr="001B02B8" w:rsidRDefault="008378D3" w:rsidP="00BE0239">
            <w:pPr>
              <w:jc w:val="center"/>
              <w:rPr>
                <w:rFonts w:cs="Times New Roman"/>
                <w:sz w:val="24"/>
                <w:szCs w:val="24"/>
              </w:rPr>
            </w:pPr>
          </w:p>
        </w:tc>
      </w:tr>
    </w:tbl>
    <w:p w:rsidR="008378D3" w:rsidRDefault="008378D3" w:rsidP="008378D3">
      <w:pPr>
        <w:spacing w:after="0" w:line="240" w:lineRule="auto"/>
        <w:rPr>
          <w:rFonts w:ascii="Times New Roman" w:hAnsi="Times New Roman" w:cs="Times New Roman"/>
          <w:sz w:val="24"/>
          <w:szCs w:val="24"/>
        </w:rPr>
      </w:pPr>
    </w:p>
    <w:p w:rsidR="008378D3" w:rsidRPr="001B02B8" w:rsidRDefault="008378D3" w:rsidP="008378D3">
      <w:pPr>
        <w:rPr>
          <w:rFonts w:cs="Times New Roman"/>
          <w:b/>
          <w:sz w:val="24"/>
          <w:szCs w:val="24"/>
        </w:rPr>
      </w:pPr>
      <w:r w:rsidRPr="001B02B8">
        <w:rPr>
          <w:rFonts w:cs="Times New Roman"/>
          <w:b/>
          <w:sz w:val="24"/>
          <w:szCs w:val="24"/>
        </w:rPr>
        <w:t>Key attributes of 1:1 Conferring in Writing</w:t>
      </w:r>
      <w:r>
        <w:rPr>
          <w:rFonts w:cs="Times New Roman"/>
          <w:b/>
          <w:sz w:val="24"/>
          <w:szCs w:val="24"/>
        </w:rPr>
        <w:t xml:space="preserve"> (pg.48)</w:t>
      </w:r>
    </w:p>
    <w:p w:rsidR="008378D3" w:rsidRPr="001B02B8" w:rsidRDefault="008378D3" w:rsidP="008378D3">
      <w:pPr>
        <w:numPr>
          <w:ilvl w:val="0"/>
          <w:numId w:val="3"/>
        </w:numPr>
        <w:spacing w:after="0" w:line="240" w:lineRule="auto"/>
        <w:rPr>
          <w:rFonts w:cs="Times New Roman"/>
          <w:sz w:val="24"/>
          <w:szCs w:val="24"/>
        </w:rPr>
      </w:pPr>
      <w:r w:rsidRPr="001B02B8">
        <w:rPr>
          <w:rFonts w:cs="Times New Roman"/>
          <w:sz w:val="24"/>
          <w:szCs w:val="24"/>
        </w:rPr>
        <w:t>Formal and on-going informal assessments are administered and analyzed in order to guide further instruction.</w:t>
      </w:r>
    </w:p>
    <w:p w:rsidR="008378D3" w:rsidRPr="001B02B8" w:rsidRDefault="008378D3" w:rsidP="008378D3">
      <w:pPr>
        <w:numPr>
          <w:ilvl w:val="0"/>
          <w:numId w:val="3"/>
        </w:numPr>
        <w:spacing w:after="0" w:line="240" w:lineRule="auto"/>
        <w:rPr>
          <w:rFonts w:cs="Times New Roman"/>
          <w:sz w:val="24"/>
          <w:szCs w:val="24"/>
        </w:rPr>
      </w:pPr>
      <w:r w:rsidRPr="001B02B8">
        <w:rPr>
          <w:rFonts w:cs="Times New Roman"/>
          <w:sz w:val="24"/>
          <w:szCs w:val="24"/>
        </w:rPr>
        <w:t>Students and teachers confer on a regular basis based on student need. Struggling writers confer with the teacher at least once a week.</w:t>
      </w:r>
    </w:p>
    <w:p w:rsidR="008378D3" w:rsidRPr="001B02B8" w:rsidRDefault="008378D3" w:rsidP="008378D3">
      <w:pPr>
        <w:numPr>
          <w:ilvl w:val="0"/>
          <w:numId w:val="3"/>
        </w:numPr>
        <w:spacing w:after="0" w:line="240" w:lineRule="auto"/>
        <w:rPr>
          <w:rFonts w:cs="Times New Roman"/>
          <w:sz w:val="24"/>
          <w:szCs w:val="24"/>
        </w:rPr>
      </w:pPr>
      <w:r w:rsidRPr="001B02B8">
        <w:rPr>
          <w:rFonts w:cs="Times New Roman"/>
          <w:sz w:val="24"/>
          <w:szCs w:val="24"/>
        </w:rPr>
        <w:t>Goal setting by the teacher and student is an integral part of the conference cycle.</w:t>
      </w:r>
    </w:p>
    <w:p w:rsidR="008378D3" w:rsidRPr="001B02B8" w:rsidRDefault="008378D3" w:rsidP="008378D3">
      <w:pPr>
        <w:numPr>
          <w:ilvl w:val="0"/>
          <w:numId w:val="3"/>
        </w:numPr>
        <w:spacing w:after="0" w:line="240" w:lineRule="auto"/>
        <w:rPr>
          <w:rFonts w:cs="Times New Roman"/>
          <w:sz w:val="24"/>
          <w:szCs w:val="24"/>
        </w:rPr>
      </w:pPr>
      <w:r w:rsidRPr="001B02B8">
        <w:rPr>
          <w:rFonts w:cs="Times New Roman"/>
          <w:color w:val="000000"/>
          <w:sz w:val="24"/>
          <w:szCs w:val="24"/>
        </w:rPr>
        <w:t>Conferences often include individualized instruction and timely specific feedback to accelerate skill and craft.</w:t>
      </w:r>
    </w:p>
    <w:p w:rsidR="00965610" w:rsidRDefault="00965610"/>
    <w:sectPr w:rsidR="00965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afting">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D46DA"/>
    <w:multiLevelType w:val="hybridMultilevel"/>
    <w:tmpl w:val="D2C6883E"/>
    <w:lvl w:ilvl="0" w:tplc="3EA83E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90B19"/>
    <w:multiLevelType w:val="hybridMultilevel"/>
    <w:tmpl w:val="01A2F5B8"/>
    <w:lvl w:ilvl="0" w:tplc="3EA83E3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F35D40"/>
    <w:multiLevelType w:val="hybridMultilevel"/>
    <w:tmpl w:val="0A6AE6C2"/>
    <w:lvl w:ilvl="0" w:tplc="3EA83E34">
      <w:start w:val="1"/>
      <w:numFmt w:val="bullet"/>
      <w:lvlText w:val=""/>
      <w:lvlJc w:val="left"/>
      <w:pPr>
        <w:tabs>
          <w:tab w:val="num" w:pos="720"/>
        </w:tabs>
        <w:ind w:left="720" w:hanging="360"/>
      </w:pPr>
      <w:rPr>
        <w:rFonts w:ascii="Wingdings" w:hAnsi="Wingdings" w:hint="default"/>
      </w:rPr>
    </w:lvl>
    <w:lvl w:ilvl="1" w:tplc="212E318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CD72B9E"/>
    <w:multiLevelType w:val="hybridMultilevel"/>
    <w:tmpl w:val="18A4CC56"/>
    <w:lvl w:ilvl="0" w:tplc="3EA83E3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8D3"/>
    <w:rsid w:val="00121F0D"/>
    <w:rsid w:val="008378D3"/>
    <w:rsid w:val="00965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8D3"/>
    <w:pPr>
      <w:ind w:left="720"/>
      <w:contextualSpacing/>
    </w:pPr>
  </w:style>
  <w:style w:type="table" w:styleId="TableGrid">
    <w:name w:val="Table Grid"/>
    <w:basedOn w:val="TableNormal"/>
    <w:uiPriority w:val="1"/>
    <w:rsid w:val="00837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78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8D3"/>
    <w:pPr>
      <w:ind w:left="720"/>
      <w:contextualSpacing/>
    </w:pPr>
  </w:style>
  <w:style w:type="table" w:styleId="TableGrid">
    <w:name w:val="Table Grid"/>
    <w:basedOn w:val="TableNormal"/>
    <w:uiPriority w:val="1"/>
    <w:rsid w:val="00837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78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11367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2015-05-21T14:57:00Z</dcterms:created>
  <dcterms:modified xsi:type="dcterms:W3CDTF">2015-05-21T14:58:00Z</dcterms:modified>
</cp:coreProperties>
</file>