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100"/>
        <w:tblW w:w="10098" w:type="dxa"/>
        <w:tblLayout w:type="fixed"/>
        <w:tblLook w:val="04A0" w:firstRow="1" w:lastRow="0" w:firstColumn="1" w:lastColumn="0" w:noHBand="0" w:noVBand="1"/>
      </w:tblPr>
      <w:tblGrid>
        <w:gridCol w:w="2448"/>
        <w:gridCol w:w="2520"/>
        <w:gridCol w:w="2340"/>
        <w:gridCol w:w="2790"/>
      </w:tblGrid>
      <w:tr w:rsidR="00773C78" w:rsidTr="00773C78">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773C78" w:rsidRDefault="00773C78" w:rsidP="00773C78">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773C78" w:rsidTr="00773C78">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Fall Benchmark STAR</w:t>
            </w:r>
          </w:p>
          <w:p w:rsidR="00773C78" w:rsidRDefault="00773C78" w:rsidP="00835B5A">
            <w:pPr>
              <w:jc w:val="center"/>
              <w:rPr>
                <w:b/>
                <w:sz w:val="20"/>
                <w:szCs w:val="20"/>
              </w:rPr>
            </w:pPr>
            <w:r>
              <w:rPr>
                <w:b/>
                <w:sz w:val="20"/>
                <w:szCs w:val="20"/>
              </w:rPr>
              <w:t>Scaled Score: 4</w:t>
            </w:r>
            <w:r w:rsidR="00835B5A">
              <w:rPr>
                <w:b/>
                <w:sz w:val="20"/>
                <w:szCs w:val="20"/>
              </w:rPr>
              <w:t>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January Benchmark STAR</w:t>
            </w:r>
          </w:p>
          <w:p w:rsidR="00773C78" w:rsidRDefault="00773C78" w:rsidP="00835B5A">
            <w:pPr>
              <w:jc w:val="center"/>
              <w:rPr>
                <w:b/>
                <w:sz w:val="20"/>
                <w:szCs w:val="20"/>
              </w:rPr>
            </w:pPr>
            <w:r>
              <w:rPr>
                <w:b/>
                <w:sz w:val="20"/>
                <w:szCs w:val="20"/>
              </w:rPr>
              <w:t>Scaled Score: 4</w:t>
            </w:r>
            <w:r w:rsidR="00835B5A">
              <w:rPr>
                <w:b/>
                <w:sz w:val="20"/>
                <w:szCs w:val="20"/>
              </w:rPr>
              <w:t>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March Benchmark STAR</w:t>
            </w:r>
          </w:p>
          <w:p w:rsidR="00773C78" w:rsidRDefault="00773C78" w:rsidP="00773C78">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June Benchmark STAR</w:t>
            </w:r>
          </w:p>
          <w:p w:rsidR="00773C78" w:rsidRDefault="00773C78" w:rsidP="00835B5A">
            <w:pPr>
              <w:jc w:val="center"/>
              <w:rPr>
                <w:b/>
                <w:sz w:val="20"/>
                <w:szCs w:val="20"/>
              </w:rPr>
            </w:pPr>
            <w:r>
              <w:rPr>
                <w:b/>
                <w:sz w:val="20"/>
                <w:szCs w:val="20"/>
              </w:rPr>
              <w:t>Scaled Score: 5</w:t>
            </w:r>
            <w:r w:rsidR="00835B5A">
              <w:rPr>
                <w:b/>
                <w:sz w:val="20"/>
                <w:szCs w:val="20"/>
              </w:rPr>
              <w:t>20</w:t>
            </w:r>
          </w:p>
        </w:tc>
      </w:tr>
      <w:tr w:rsidR="00773C78" w:rsidTr="00773C78">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Fall Benchmark</w:t>
            </w:r>
          </w:p>
          <w:p w:rsidR="00773C78" w:rsidRDefault="00773C78" w:rsidP="00773C78">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January Benchmark</w:t>
            </w:r>
          </w:p>
          <w:p w:rsidR="00773C78" w:rsidRDefault="00773C78" w:rsidP="00773C78">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March  Benchmark</w:t>
            </w:r>
          </w:p>
          <w:p w:rsidR="00773C78" w:rsidRDefault="00773C78" w:rsidP="00773C78">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773C78" w:rsidRDefault="00773C78" w:rsidP="00773C78">
            <w:pPr>
              <w:jc w:val="center"/>
              <w:rPr>
                <w:b/>
                <w:sz w:val="20"/>
                <w:szCs w:val="20"/>
              </w:rPr>
            </w:pPr>
            <w:r>
              <w:rPr>
                <w:b/>
                <w:sz w:val="20"/>
                <w:szCs w:val="20"/>
              </w:rPr>
              <w:t>June Benchmark</w:t>
            </w:r>
          </w:p>
          <w:p w:rsidR="00773C78" w:rsidRDefault="00773C78" w:rsidP="00773C78">
            <w:pPr>
              <w:jc w:val="center"/>
              <w:rPr>
                <w:b/>
                <w:sz w:val="20"/>
                <w:szCs w:val="20"/>
              </w:rPr>
            </w:pPr>
            <w:r>
              <w:rPr>
                <w:b/>
                <w:sz w:val="20"/>
                <w:szCs w:val="20"/>
              </w:rPr>
              <w:t>F &amp; P Level S</w:t>
            </w:r>
          </w:p>
        </w:tc>
      </w:tr>
    </w:tbl>
    <w:p w:rsidR="00773C78" w:rsidRDefault="00773C78">
      <w:bookmarkStart w:id="0" w:name="_GoBack"/>
      <w:bookmarkEnd w:id="0"/>
    </w:p>
    <w:tbl>
      <w:tblPr>
        <w:tblStyle w:val="TableGrid"/>
        <w:tblpPr w:leftFromText="180" w:rightFromText="180" w:vertAnchor="page" w:horzAnchor="margin" w:tblpY="1684"/>
        <w:tblW w:w="10098" w:type="dxa"/>
        <w:tblLook w:val="04A0" w:firstRow="1" w:lastRow="0" w:firstColumn="1" w:lastColumn="0" w:noHBand="0" w:noVBand="1"/>
      </w:tblPr>
      <w:tblGrid>
        <w:gridCol w:w="823"/>
        <w:gridCol w:w="1355"/>
        <w:gridCol w:w="7920"/>
      </w:tblGrid>
      <w:tr w:rsidR="00773C78" w:rsidTr="00773C78">
        <w:trPr>
          <w:trHeight w:val="440"/>
        </w:trPr>
        <w:tc>
          <w:tcPr>
            <w:tcW w:w="10098" w:type="dxa"/>
            <w:gridSpan w:val="3"/>
            <w:tcBorders>
              <w:bottom w:val="single" w:sz="4" w:space="0" w:color="auto"/>
            </w:tcBorders>
            <w:shd w:val="clear" w:color="auto" w:fill="548DD4" w:themeFill="text2" w:themeFillTint="99"/>
          </w:tcPr>
          <w:p w:rsidR="00773C78" w:rsidRDefault="00773C78" w:rsidP="00773C78">
            <w:pPr>
              <w:jc w:val="center"/>
              <w:rPr>
                <w:b/>
                <w:sz w:val="28"/>
                <w:szCs w:val="28"/>
              </w:rPr>
            </w:pPr>
            <w:r>
              <w:rPr>
                <w:b/>
                <w:sz w:val="28"/>
                <w:szCs w:val="28"/>
              </w:rPr>
              <w:t xml:space="preserve">ELA  GRADE 4 </w:t>
            </w:r>
          </w:p>
        </w:tc>
      </w:tr>
      <w:tr w:rsidR="00773C78" w:rsidTr="00773C78">
        <w:trPr>
          <w:trHeight w:val="440"/>
        </w:trPr>
        <w:tc>
          <w:tcPr>
            <w:tcW w:w="10098" w:type="dxa"/>
            <w:gridSpan w:val="3"/>
            <w:tcBorders>
              <w:bottom w:val="single" w:sz="4" w:space="0" w:color="auto"/>
            </w:tcBorders>
            <w:shd w:val="clear" w:color="auto" w:fill="CCC0D9" w:themeFill="accent4" w:themeFillTint="66"/>
          </w:tcPr>
          <w:p w:rsidR="00773C78" w:rsidRPr="00773C78" w:rsidRDefault="00773C78" w:rsidP="00773C78">
            <w:pPr>
              <w:jc w:val="center"/>
              <w:rPr>
                <w:b/>
                <w:sz w:val="36"/>
                <w:szCs w:val="36"/>
              </w:rPr>
            </w:pPr>
            <w:r w:rsidRPr="00773C78">
              <w:rPr>
                <w:b/>
                <w:sz w:val="36"/>
                <w:szCs w:val="36"/>
              </w:rPr>
              <w:t xml:space="preserve">Priority Standard Rubric </w:t>
            </w:r>
          </w:p>
          <w:p w:rsidR="00773C78" w:rsidRPr="006C4947" w:rsidRDefault="00773C78" w:rsidP="00773C78">
            <w:pPr>
              <w:jc w:val="center"/>
              <w:rPr>
                <w:b/>
                <w:sz w:val="48"/>
                <w:szCs w:val="48"/>
              </w:rPr>
            </w:pPr>
            <w:r w:rsidRPr="00773C78">
              <w:rPr>
                <w:b/>
                <w:sz w:val="36"/>
                <w:szCs w:val="36"/>
              </w:rPr>
              <w:t>Reading Informational</w:t>
            </w:r>
          </w:p>
        </w:tc>
      </w:tr>
      <w:tr w:rsidR="00773C78" w:rsidTr="00773C78">
        <w:trPr>
          <w:trHeight w:val="300"/>
        </w:trPr>
        <w:tc>
          <w:tcPr>
            <w:tcW w:w="2178" w:type="dxa"/>
            <w:gridSpan w:val="2"/>
            <w:shd w:val="clear" w:color="auto" w:fill="FFFF00"/>
          </w:tcPr>
          <w:p w:rsidR="00773C78" w:rsidRPr="004E63AB" w:rsidRDefault="00773C78" w:rsidP="00773C78">
            <w:pPr>
              <w:jc w:val="center"/>
              <w:rPr>
                <w:b/>
                <w:sz w:val="28"/>
                <w:szCs w:val="28"/>
              </w:rPr>
            </w:pPr>
            <w:r>
              <w:rPr>
                <w:b/>
                <w:sz w:val="28"/>
                <w:szCs w:val="28"/>
              </w:rPr>
              <w:t>Anchor Standard</w:t>
            </w:r>
          </w:p>
        </w:tc>
        <w:tc>
          <w:tcPr>
            <w:tcW w:w="7920" w:type="dxa"/>
            <w:shd w:val="clear" w:color="auto" w:fill="FFFF00"/>
          </w:tcPr>
          <w:p w:rsidR="00773C78" w:rsidRPr="00E27B6D" w:rsidRDefault="00773C78" w:rsidP="00773C78">
            <w:pPr>
              <w:rPr>
                <w:sz w:val="24"/>
                <w:szCs w:val="24"/>
              </w:rPr>
            </w:pPr>
            <w:r w:rsidRPr="00055119">
              <w:rPr>
                <w:rFonts w:ascii="Calibri" w:eastAsia="Times New Roman" w:hAnsi="Calibri"/>
              </w:rPr>
              <w:t xml:space="preserve">Integrate and evaluate content presented in diverse media and formats, including visually and quantitatively, as well as in </w:t>
            </w:r>
            <w:r w:rsidRPr="00055119">
              <w:rPr>
                <w:rFonts w:ascii="Calibri" w:eastAsia="Times New Roman" w:hAnsi="Calibri" w:cs="Helvetica"/>
              </w:rPr>
              <w:t>words.</w:t>
            </w:r>
          </w:p>
        </w:tc>
      </w:tr>
      <w:tr w:rsidR="00773C78" w:rsidTr="00773C78">
        <w:trPr>
          <w:trHeight w:val="647"/>
        </w:trPr>
        <w:tc>
          <w:tcPr>
            <w:tcW w:w="2178" w:type="dxa"/>
            <w:gridSpan w:val="2"/>
            <w:shd w:val="clear" w:color="auto" w:fill="D9D9D9" w:themeFill="background1" w:themeFillShade="D9"/>
          </w:tcPr>
          <w:p w:rsidR="00773C78" w:rsidRPr="004E63AB" w:rsidRDefault="00773C78" w:rsidP="00773C78">
            <w:pPr>
              <w:jc w:val="center"/>
              <w:rPr>
                <w:b/>
                <w:sz w:val="28"/>
                <w:szCs w:val="28"/>
              </w:rPr>
            </w:pPr>
            <w:r>
              <w:rPr>
                <w:b/>
                <w:sz w:val="28"/>
                <w:szCs w:val="28"/>
              </w:rPr>
              <w:t>ELA.4.RI.7</w:t>
            </w:r>
          </w:p>
        </w:tc>
        <w:tc>
          <w:tcPr>
            <w:tcW w:w="7920" w:type="dxa"/>
            <w:shd w:val="clear" w:color="auto" w:fill="D9D9D9" w:themeFill="background1" w:themeFillShade="D9"/>
          </w:tcPr>
          <w:p w:rsidR="00773C78" w:rsidRPr="00773C78" w:rsidRDefault="00773C78" w:rsidP="00773C78">
            <w:pPr>
              <w:tabs>
                <w:tab w:val="left" w:pos="1170"/>
              </w:tabs>
              <w:autoSpaceDE w:val="0"/>
              <w:autoSpaceDN w:val="0"/>
              <w:adjustRightInd w:val="0"/>
              <w:spacing w:before="30"/>
              <w:ind w:left="1170" w:right="450" w:hanging="1170"/>
              <w:rPr>
                <w:rFonts w:ascii="Calibri" w:eastAsia="Times New Roman" w:hAnsi="Calibri" w:cs="Arial"/>
              </w:rPr>
            </w:pPr>
            <w:r w:rsidRPr="00773C78">
              <w:rPr>
                <w:rFonts w:ascii="Calibri" w:eastAsia="Times New Roman" w:hAnsi="Calibri" w:cs="Arial"/>
              </w:rPr>
              <w:t>℗4.RI.7</w:t>
            </w:r>
            <w:r w:rsidRPr="00773C78">
              <w:rPr>
                <w:rFonts w:ascii="Calibri" w:eastAsia="Times New Roman" w:hAnsi="Calibri" w:cs="Arial"/>
              </w:rPr>
              <w:tab/>
            </w:r>
            <w:r w:rsidRPr="00773C78">
              <w:rPr>
                <w:rFonts w:ascii="Calibri" w:eastAsia="Times New Roman" w:hAnsi="Calibri"/>
              </w:rPr>
              <w:t>Interpret information presented visually, orally, or quantitatively (e.g., in charts, graphs, diagrams, time lines, animations, or interactive elements on Web pages) and explain how the information contributes to an understanding of the text in which it appears</w:t>
            </w:r>
            <w:r w:rsidRPr="00773C78">
              <w:rPr>
                <w:rFonts w:ascii="Calibri" w:eastAsia="Times New Roman" w:hAnsi="Calibri" w:cs="Arial"/>
              </w:rPr>
              <w:t>.</w:t>
            </w:r>
          </w:p>
        </w:tc>
      </w:tr>
      <w:tr w:rsidR="00773C78" w:rsidRPr="00773C78" w:rsidTr="00773C78">
        <w:trPr>
          <w:trHeight w:val="1445"/>
        </w:trPr>
        <w:tc>
          <w:tcPr>
            <w:tcW w:w="823" w:type="dxa"/>
            <w:vMerge w:val="restart"/>
            <w:shd w:val="clear" w:color="auto" w:fill="CCC0D9" w:themeFill="accent4" w:themeFillTint="66"/>
            <w:textDirection w:val="btLr"/>
          </w:tcPr>
          <w:p w:rsidR="00773C78" w:rsidRPr="00E27B6D" w:rsidRDefault="00773C78" w:rsidP="00773C78">
            <w:pPr>
              <w:ind w:left="113" w:right="113"/>
              <w:jc w:val="center"/>
              <w:rPr>
                <w:b/>
                <w:sz w:val="48"/>
                <w:szCs w:val="48"/>
              </w:rPr>
            </w:pPr>
            <w:r w:rsidRPr="00E27B6D">
              <w:rPr>
                <w:b/>
                <w:sz w:val="48"/>
                <w:szCs w:val="48"/>
              </w:rPr>
              <w:t>Performance Level</w:t>
            </w:r>
          </w:p>
          <w:p w:rsidR="00773C78" w:rsidRPr="0025773A" w:rsidRDefault="00773C78" w:rsidP="00773C78">
            <w:pPr>
              <w:ind w:left="113" w:right="113"/>
              <w:jc w:val="center"/>
              <w:rPr>
                <w:b/>
                <w:sz w:val="32"/>
                <w:szCs w:val="32"/>
              </w:rPr>
            </w:pPr>
          </w:p>
        </w:tc>
        <w:tc>
          <w:tcPr>
            <w:tcW w:w="1355" w:type="dxa"/>
            <w:shd w:val="clear" w:color="auto" w:fill="8DB3E2" w:themeFill="text2" w:themeFillTint="66"/>
          </w:tcPr>
          <w:p w:rsidR="00773C78" w:rsidRPr="0025773A" w:rsidRDefault="00773C78" w:rsidP="00773C78">
            <w:pPr>
              <w:jc w:val="center"/>
              <w:rPr>
                <w:b/>
                <w:sz w:val="72"/>
                <w:szCs w:val="72"/>
              </w:rPr>
            </w:pPr>
            <w:r w:rsidRPr="0025773A">
              <w:rPr>
                <w:b/>
                <w:sz w:val="72"/>
                <w:szCs w:val="72"/>
              </w:rPr>
              <w:t>4</w:t>
            </w:r>
          </w:p>
          <w:p w:rsidR="00773C78" w:rsidRPr="0025773A" w:rsidRDefault="00773C78" w:rsidP="00773C78">
            <w:pPr>
              <w:jc w:val="center"/>
              <w:rPr>
                <w:b/>
                <w:sz w:val="32"/>
                <w:szCs w:val="32"/>
              </w:rPr>
            </w:pPr>
          </w:p>
        </w:tc>
        <w:tc>
          <w:tcPr>
            <w:tcW w:w="7920" w:type="dxa"/>
          </w:tcPr>
          <w:p w:rsidR="00773C78" w:rsidRPr="00773C78" w:rsidRDefault="00773C78" w:rsidP="00773C78">
            <w:pPr>
              <w:rPr>
                <w:b/>
                <w:i/>
                <w:sz w:val="20"/>
                <w:szCs w:val="20"/>
              </w:rPr>
            </w:pPr>
            <w:r w:rsidRPr="00773C78">
              <w:rPr>
                <w:b/>
                <w:i/>
                <w:sz w:val="20"/>
                <w:szCs w:val="20"/>
              </w:rPr>
              <w:t>Consistently and accurately</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 xml:space="preserve">Interprets information presented visually, orally, or quantitatively (e.g., in charts, graphs, diagrams, time lines, animations, or interactive elements on Web pages) </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Explains how the information contributes to an understanding of the text in which it appears</w:t>
            </w:r>
          </w:p>
          <w:p w:rsidR="00773C78" w:rsidRPr="00773C78" w:rsidRDefault="00773C78" w:rsidP="00773C78">
            <w:pPr>
              <w:rPr>
                <w:i/>
                <w:sz w:val="20"/>
                <w:szCs w:val="20"/>
              </w:rPr>
            </w:pPr>
            <w:r w:rsidRPr="00773C78">
              <w:rPr>
                <w:i/>
                <w:sz w:val="20"/>
                <w:szCs w:val="20"/>
                <w:highlight w:val="yellow"/>
              </w:rPr>
              <w:t>Using and appropriate benchmark level text.</w:t>
            </w:r>
          </w:p>
        </w:tc>
      </w:tr>
      <w:tr w:rsidR="00773C78" w:rsidRPr="00773C78" w:rsidTr="00773C78">
        <w:trPr>
          <w:trHeight w:val="1445"/>
        </w:trPr>
        <w:tc>
          <w:tcPr>
            <w:tcW w:w="823" w:type="dxa"/>
            <w:vMerge/>
            <w:shd w:val="clear" w:color="auto" w:fill="CCC0D9" w:themeFill="accent4" w:themeFillTint="66"/>
          </w:tcPr>
          <w:p w:rsidR="00773C78" w:rsidRPr="0025773A" w:rsidRDefault="00773C78" w:rsidP="00773C78">
            <w:pPr>
              <w:jc w:val="center"/>
              <w:rPr>
                <w:b/>
                <w:sz w:val="32"/>
                <w:szCs w:val="32"/>
              </w:rPr>
            </w:pPr>
          </w:p>
        </w:tc>
        <w:tc>
          <w:tcPr>
            <w:tcW w:w="1355" w:type="dxa"/>
            <w:tcBorders>
              <w:bottom w:val="single" w:sz="4" w:space="0" w:color="auto"/>
            </w:tcBorders>
            <w:shd w:val="clear" w:color="auto" w:fill="8DB3E2" w:themeFill="text2" w:themeFillTint="66"/>
          </w:tcPr>
          <w:p w:rsidR="00773C78" w:rsidRPr="0025773A" w:rsidRDefault="00773C78" w:rsidP="00773C78">
            <w:pPr>
              <w:jc w:val="center"/>
              <w:rPr>
                <w:b/>
                <w:sz w:val="72"/>
                <w:szCs w:val="72"/>
              </w:rPr>
            </w:pPr>
            <w:r w:rsidRPr="0025773A">
              <w:rPr>
                <w:b/>
                <w:sz w:val="72"/>
                <w:szCs w:val="72"/>
              </w:rPr>
              <w:t>3</w:t>
            </w:r>
          </w:p>
          <w:p w:rsidR="00773C78" w:rsidRPr="0025773A" w:rsidRDefault="00773C78" w:rsidP="00773C78">
            <w:pPr>
              <w:jc w:val="center"/>
              <w:rPr>
                <w:b/>
                <w:sz w:val="32"/>
                <w:szCs w:val="32"/>
              </w:rPr>
            </w:pPr>
          </w:p>
        </w:tc>
        <w:tc>
          <w:tcPr>
            <w:tcW w:w="7920" w:type="dxa"/>
          </w:tcPr>
          <w:p w:rsidR="00773C78" w:rsidRPr="00773C78" w:rsidRDefault="00773C78" w:rsidP="00773C78">
            <w:pPr>
              <w:rPr>
                <w:b/>
                <w:i/>
                <w:sz w:val="20"/>
                <w:szCs w:val="20"/>
              </w:rPr>
            </w:pPr>
            <w:r w:rsidRPr="00773C78">
              <w:rPr>
                <w:b/>
                <w:i/>
                <w:sz w:val="20"/>
                <w:szCs w:val="20"/>
              </w:rPr>
              <w:t>Usually and adequately</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 xml:space="preserve">Interprets information presented visually, orally, or quantitatively (e.g., in charts, graphs, diagrams, time lines, animations, or interactive elements on Web pages) </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Explains how the information contributes to an understanding of the text in which it appears</w:t>
            </w:r>
          </w:p>
          <w:p w:rsidR="00773C78" w:rsidRPr="00773C78" w:rsidRDefault="00773C78" w:rsidP="00773C78">
            <w:pPr>
              <w:rPr>
                <w:i/>
                <w:sz w:val="20"/>
                <w:szCs w:val="20"/>
              </w:rPr>
            </w:pPr>
            <w:r w:rsidRPr="00773C78">
              <w:rPr>
                <w:i/>
                <w:sz w:val="20"/>
                <w:szCs w:val="20"/>
                <w:highlight w:val="yellow"/>
              </w:rPr>
              <w:t>Using and appropriate benchmark level text.</w:t>
            </w:r>
          </w:p>
        </w:tc>
      </w:tr>
      <w:tr w:rsidR="00773C78" w:rsidRPr="00773C78" w:rsidTr="00773C78">
        <w:trPr>
          <w:trHeight w:val="1353"/>
        </w:trPr>
        <w:tc>
          <w:tcPr>
            <w:tcW w:w="823" w:type="dxa"/>
            <w:vMerge/>
            <w:shd w:val="clear" w:color="auto" w:fill="CCC0D9" w:themeFill="accent4" w:themeFillTint="66"/>
          </w:tcPr>
          <w:p w:rsidR="00773C78" w:rsidRPr="0025773A" w:rsidRDefault="00773C78" w:rsidP="00773C78">
            <w:pPr>
              <w:jc w:val="center"/>
              <w:rPr>
                <w:b/>
                <w:sz w:val="32"/>
                <w:szCs w:val="32"/>
              </w:rPr>
            </w:pPr>
          </w:p>
        </w:tc>
        <w:tc>
          <w:tcPr>
            <w:tcW w:w="1355" w:type="dxa"/>
            <w:shd w:val="clear" w:color="auto" w:fill="C2D69B" w:themeFill="accent3" w:themeFillTint="99"/>
          </w:tcPr>
          <w:p w:rsidR="00773C78" w:rsidRPr="0025773A" w:rsidRDefault="00773C78" w:rsidP="00773C78">
            <w:pPr>
              <w:jc w:val="center"/>
              <w:rPr>
                <w:b/>
                <w:sz w:val="72"/>
                <w:szCs w:val="72"/>
              </w:rPr>
            </w:pPr>
            <w:r w:rsidRPr="0025773A">
              <w:rPr>
                <w:b/>
                <w:sz w:val="72"/>
                <w:szCs w:val="72"/>
              </w:rPr>
              <w:t>2</w:t>
            </w:r>
          </w:p>
          <w:p w:rsidR="00773C78" w:rsidRPr="0025773A" w:rsidRDefault="00773C78" w:rsidP="00773C78">
            <w:pPr>
              <w:jc w:val="center"/>
              <w:rPr>
                <w:b/>
                <w:sz w:val="32"/>
                <w:szCs w:val="32"/>
              </w:rPr>
            </w:pPr>
          </w:p>
        </w:tc>
        <w:tc>
          <w:tcPr>
            <w:tcW w:w="7920" w:type="dxa"/>
          </w:tcPr>
          <w:p w:rsidR="00773C78" w:rsidRPr="00773C78" w:rsidRDefault="00773C78" w:rsidP="00773C78">
            <w:pPr>
              <w:rPr>
                <w:b/>
                <w:i/>
                <w:sz w:val="20"/>
                <w:szCs w:val="20"/>
              </w:rPr>
            </w:pPr>
            <w:r w:rsidRPr="00773C78">
              <w:rPr>
                <w:b/>
                <w:i/>
                <w:sz w:val="20"/>
                <w:szCs w:val="20"/>
              </w:rPr>
              <w:t>Sometimes and/or with assistance</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 xml:space="preserve">Interprets information presented visually, orally, or quantitatively (e.g., in charts, graphs, diagrams, time lines, animations, or interactive elements on Web pages) </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Explains how the information contributes to an understanding of the text in which it appears</w:t>
            </w:r>
          </w:p>
          <w:p w:rsidR="00835B5A" w:rsidRDefault="00835B5A" w:rsidP="00835B5A">
            <w:pPr>
              <w:pStyle w:val="ListParagraph"/>
              <w:ind w:left="0"/>
              <w:rPr>
                <w:sz w:val="20"/>
                <w:szCs w:val="20"/>
              </w:rPr>
            </w:pPr>
            <w:r>
              <w:rPr>
                <w:sz w:val="20"/>
                <w:szCs w:val="20"/>
                <w:highlight w:val="yellow"/>
              </w:rPr>
              <w:t>Using  an appropriate level benchmark text</w:t>
            </w:r>
            <w:r>
              <w:rPr>
                <w:sz w:val="20"/>
                <w:szCs w:val="20"/>
              </w:rPr>
              <w:t xml:space="preserve"> </w:t>
            </w:r>
          </w:p>
          <w:p w:rsidR="00773C78" w:rsidRPr="00773C78" w:rsidRDefault="00835B5A" w:rsidP="00835B5A">
            <w:pPr>
              <w:rPr>
                <w:i/>
                <w:sz w:val="20"/>
                <w:szCs w:val="20"/>
              </w:rPr>
            </w:pPr>
            <w:r>
              <w:rPr>
                <w:sz w:val="20"/>
                <w:szCs w:val="20"/>
                <w:highlight w:val="yellow"/>
              </w:rPr>
              <w:t>Or can consistently and effectively (or usually and adequately) demonstrate skill with a text read by the teacher</w:t>
            </w:r>
          </w:p>
        </w:tc>
      </w:tr>
      <w:tr w:rsidR="00773C78" w:rsidRPr="00773C78" w:rsidTr="00773C78">
        <w:trPr>
          <w:trHeight w:val="1574"/>
        </w:trPr>
        <w:tc>
          <w:tcPr>
            <w:tcW w:w="823" w:type="dxa"/>
            <w:vMerge/>
            <w:tcBorders>
              <w:bottom w:val="single" w:sz="4" w:space="0" w:color="auto"/>
            </w:tcBorders>
            <w:shd w:val="clear" w:color="auto" w:fill="CCC0D9" w:themeFill="accent4" w:themeFillTint="66"/>
          </w:tcPr>
          <w:p w:rsidR="00773C78" w:rsidRPr="0025773A" w:rsidRDefault="00773C78" w:rsidP="00773C78">
            <w:pPr>
              <w:jc w:val="center"/>
              <w:rPr>
                <w:b/>
                <w:sz w:val="32"/>
                <w:szCs w:val="32"/>
              </w:rPr>
            </w:pPr>
          </w:p>
        </w:tc>
        <w:tc>
          <w:tcPr>
            <w:tcW w:w="1355" w:type="dxa"/>
            <w:tcBorders>
              <w:bottom w:val="single" w:sz="4" w:space="0" w:color="auto"/>
            </w:tcBorders>
            <w:shd w:val="clear" w:color="auto" w:fill="C2D69B" w:themeFill="accent3" w:themeFillTint="99"/>
          </w:tcPr>
          <w:p w:rsidR="00773C78" w:rsidRPr="0025773A" w:rsidRDefault="00773C78" w:rsidP="00773C78">
            <w:pPr>
              <w:jc w:val="center"/>
              <w:rPr>
                <w:b/>
                <w:sz w:val="72"/>
                <w:szCs w:val="72"/>
              </w:rPr>
            </w:pPr>
            <w:r w:rsidRPr="0025773A">
              <w:rPr>
                <w:b/>
                <w:sz w:val="72"/>
                <w:szCs w:val="72"/>
              </w:rPr>
              <w:t>1</w:t>
            </w:r>
          </w:p>
          <w:p w:rsidR="00773C78" w:rsidRPr="0025773A" w:rsidRDefault="00773C78" w:rsidP="00773C78">
            <w:pPr>
              <w:jc w:val="center"/>
              <w:rPr>
                <w:b/>
                <w:sz w:val="32"/>
                <w:szCs w:val="32"/>
              </w:rPr>
            </w:pPr>
          </w:p>
        </w:tc>
        <w:tc>
          <w:tcPr>
            <w:tcW w:w="7920" w:type="dxa"/>
            <w:tcBorders>
              <w:bottom w:val="single" w:sz="4" w:space="0" w:color="auto"/>
            </w:tcBorders>
          </w:tcPr>
          <w:p w:rsidR="00773C78" w:rsidRPr="00773C78" w:rsidRDefault="00773C78" w:rsidP="00773C78">
            <w:pPr>
              <w:rPr>
                <w:b/>
                <w:i/>
                <w:sz w:val="20"/>
                <w:szCs w:val="20"/>
              </w:rPr>
            </w:pPr>
            <w:r w:rsidRPr="00773C78">
              <w:rPr>
                <w:b/>
                <w:i/>
                <w:sz w:val="20"/>
                <w:szCs w:val="20"/>
              </w:rPr>
              <w:t>Needs considerable assistance or cannot yet</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 xml:space="preserve">Interpret information presented visually, orally, or quantitatively (e.g., in charts, graphs, diagrams, time lines, animations, or interactive elements on Web pages) </w:t>
            </w:r>
          </w:p>
          <w:p w:rsidR="00773C78" w:rsidRPr="00773C78" w:rsidRDefault="00773C78" w:rsidP="00773C78">
            <w:pPr>
              <w:pStyle w:val="ListParagraph"/>
              <w:numPr>
                <w:ilvl w:val="0"/>
                <w:numId w:val="8"/>
              </w:numPr>
              <w:rPr>
                <w:i/>
                <w:sz w:val="20"/>
                <w:szCs w:val="20"/>
              </w:rPr>
            </w:pPr>
            <w:r w:rsidRPr="00773C78">
              <w:rPr>
                <w:rFonts w:ascii="Calibri" w:eastAsia="Times New Roman" w:hAnsi="Calibri"/>
                <w:sz w:val="20"/>
                <w:szCs w:val="20"/>
              </w:rPr>
              <w:t>Explain how the information contributes to an understanding of the text in which it appears</w:t>
            </w:r>
          </w:p>
          <w:p w:rsidR="00773C78" w:rsidRPr="00773C78" w:rsidRDefault="00835B5A" w:rsidP="00773C78">
            <w:pPr>
              <w:rPr>
                <w:sz w:val="20"/>
                <w:szCs w:val="20"/>
              </w:rPr>
            </w:pPr>
            <w:r>
              <w:rPr>
                <w:i/>
                <w:sz w:val="20"/>
                <w:szCs w:val="20"/>
                <w:highlight w:val="yellow"/>
              </w:rPr>
              <w:t>Neither using an appropriate benchmark level text nor in a teacher read aloud</w:t>
            </w:r>
            <w:r w:rsidR="00773C78" w:rsidRPr="00773C78">
              <w:rPr>
                <w:i/>
                <w:sz w:val="20"/>
                <w:szCs w:val="20"/>
                <w:highlight w:val="yellow"/>
              </w:rPr>
              <w:t>.</w:t>
            </w:r>
          </w:p>
        </w:tc>
      </w:tr>
      <w:tr w:rsidR="00773C78" w:rsidTr="00773C78">
        <w:trPr>
          <w:trHeight w:val="926"/>
        </w:trPr>
        <w:tc>
          <w:tcPr>
            <w:tcW w:w="10098" w:type="dxa"/>
            <w:gridSpan w:val="3"/>
            <w:shd w:val="clear" w:color="auto" w:fill="D9D9D9" w:themeFill="background1" w:themeFillShade="D9"/>
          </w:tcPr>
          <w:p w:rsidR="00773C78" w:rsidRPr="00773C78" w:rsidRDefault="00773C78" w:rsidP="00773C78">
            <w:pPr>
              <w:rPr>
                <w:b/>
                <w:i/>
              </w:rPr>
            </w:pPr>
            <w:r w:rsidRPr="00773C78">
              <w:rPr>
                <w:b/>
                <w:i/>
              </w:rPr>
              <w:t>CCSS—Grade Specific Reading Informational Standard 10 (Grade 4)</w:t>
            </w:r>
          </w:p>
          <w:p w:rsidR="00773C78" w:rsidRPr="00773C78" w:rsidRDefault="00773C78" w:rsidP="00773C78">
            <w:pPr>
              <w:rPr>
                <w:b/>
                <w:i/>
                <w:sz w:val="24"/>
                <w:szCs w:val="24"/>
              </w:rPr>
            </w:pPr>
            <w:r w:rsidRPr="00773C78">
              <w:rPr>
                <w:rFonts w:ascii="Calibri" w:hAnsi="Calibri"/>
                <w:color w:val="000000"/>
              </w:rPr>
              <w:t xml:space="preserve">By the end of year, read and comprehend informational texts, including history/social studies, science, and technical texts, in the grades 4–5 text complexity band proficiently, with scaffolding as needed at the high end of </w:t>
            </w:r>
            <w:r w:rsidRPr="00773C78">
              <w:rPr>
                <w:rFonts w:ascii="Calibri" w:hAnsi="Calibri"/>
              </w:rPr>
              <w:t>the range</w:t>
            </w:r>
            <w:r w:rsidRPr="00773C78">
              <w:rPr>
                <w:rFonts w:ascii="Calibri" w:eastAsia="Times New Roman" w:hAnsi="Calibri" w:cs="Arial"/>
              </w:rPr>
              <w:t>.</w:t>
            </w:r>
          </w:p>
        </w:tc>
      </w:tr>
    </w:tbl>
    <w:p w:rsidR="0075571F" w:rsidRDefault="0075571F"/>
    <w:sectPr w:rsidR="0075571F" w:rsidSect="00773C7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A8" w:rsidRDefault="00EB49A8" w:rsidP="0025773A">
      <w:pPr>
        <w:spacing w:after="0" w:line="240" w:lineRule="auto"/>
      </w:pPr>
      <w:r>
        <w:separator/>
      </w:r>
    </w:p>
  </w:endnote>
  <w:endnote w:type="continuationSeparator" w:id="0">
    <w:p w:rsidR="00EB49A8" w:rsidRDefault="00EB49A8"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A8" w:rsidRDefault="00EB49A8" w:rsidP="0025773A">
      <w:pPr>
        <w:spacing w:after="0" w:line="240" w:lineRule="auto"/>
      </w:pPr>
      <w:r>
        <w:separator/>
      </w:r>
    </w:p>
  </w:footnote>
  <w:footnote w:type="continuationSeparator" w:id="0">
    <w:p w:rsidR="00EB49A8" w:rsidRDefault="00EB49A8"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D703CF"/>
    <w:multiLevelType w:val="hybridMultilevel"/>
    <w:tmpl w:val="BBE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553B9"/>
    <w:rsid w:val="00061209"/>
    <w:rsid w:val="00062A67"/>
    <w:rsid w:val="000C33C8"/>
    <w:rsid w:val="001061C5"/>
    <w:rsid w:val="00154505"/>
    <w:rsid w:val="00255C22"/>
    <w:rsid w:val="0025773A"/>
    <w:rsid w:val="002C5F5D"/>
    <w:rsid w:val="002D20BA"/>
    <w:rsid w:val="00324969"/>
    <w:rsid w:val="00392084"/>
    <w:rsid w:val="003C52DB"/>
    <w:rsid w:val="003F613A"/>
    <w:rsid w:val="00422D90"/>
    <w:rsid w:val="004E63AB"/>
    <w:rsid w:val="005351F0"/>
    <w:rsid w:val="00551E5B"/>
    <w:rsid w:val="0058169E"/>
    <w:rsid w:val="005D27A6"/>
    <w:rsid w:val="005E62D4"/>
    <w:rsid w:val="00653F74"/>
    <w:rsid w:val="00697C7C"/>
    <w:rsid w:val="006A690A"/>
    <w:rsid w:val="006B6E14"/>
    <w:rsid w:val="006C4947"/>
    <w:rsid w:val="00713990"/>
    <w:rsid w:val="0075571F"/>
    <w:rsid w:val="00773C78"/>
    <w:rsid w:val="0077597F"/>
    <w:rsid w:val="00790DB4"/>
    <w:rsid w:val="007934F0"/>
    <w:rsid w:val="007B20DA"/>
    <w:rsid w:val="007E34E9"/>
    <w:rsid w:val="007F6C78"/>
    <w:rsid w:val="00835B5A"/>
    <w:rsid w:val="008E53E9"/>
    <w:rsid w:val="008F2CF3"/>
    <w:rsid w:val="00927FBF"/>
    <w:rsid w:val="00954B0B"/>
    <w:rsid w:val="009773A4"/>
    <w:rsid w:val="009A2B99"/>
    <w:rsid w:val="009B1828"/>
    <w:rsid w:val="009C5077"/>
    <w:rsid w:val="009E4A88"/>
    <w:rsid w:val="00A2480B"/>
    <w:rsid w:val="00A63565"/>
    <w:rsid w:val="00A75D48"/>
    <w:rsid w:val="00A87EB7"/>
    <w:rsid w:val="00AB52D2"/>
    <w:rsid w:val="00AB7841"/>
    <w:rsid w:val="00AC3D5E"/>
    <w:rsid w:val="00B95B24"/>
    <w:rsid w:val="00BC7573"/>
    <w:rsid w:val="00C3558B"/>
    <w:rsid w:val="00C45E62"/>
    <w:rsid w:val="00C95BD9"/>
    <w:rsid w:val="00C97675"/>
    <w:rsid w:val="00CA46E2"/>
    <w:rsid w:val="00CA6517"/>
    <w:rsid w:val="00CD621D"/>
    <w:rsid w:val="00CE53A1"/>
    <w:rsid w:val="00D1136C"/>
    <w:rsid w:val="00D25FFE"/>
    <w:rsid w:val="00D8709C"/>
    <w:rsid w:val="00DC24CD"/>
    <w:rsid w:val="00DE744E"/>
    <w:rsid w:val="00E27B6D"/>
    <w:rsid w:val="00EB49A8"/>
    <w:rsid w:val="00ED2DAE"/>
    <w:rsid w:val="00F604CB"/>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75CF4-3708-480A-9938-BAE572E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2015-05-01T18:54:00Z</dcterms:created>
  <dcterms:modified xsi:type="dcterms:W3CDTF">2015-05-01T18:54:00Z</dcterms:modified>
</cp:coreProperties>
</file>