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E93398">
        <w:trPr>
          <w:trHeight w:val="440"/>
        </w:trPr>
        <w:tc>
          <w:tcPr>
            <w:tcW w:w="10098" w:type="dxa"/>
            <w:gridSpan w:val="3"/>
            <w:tcBorders>
              <w:bottom w:val="single" w:sz="4" w:space="0" w:color="auto"/>
            </w:tcBorders>
            <w:shd w:val="clear" w:color="auto" w:fill="548DD4" w:themeFill="text2" w:themeFillTint="99"/>
          </w:tcPr>
          <w:p w:rsidR="00697C7C" w:rsidRDefault="00697C7C" w:rsidP="00061209">
            <w:pPr>
              <w:jc w:val="center"/>
              <w:rPr>
                <w:b/>
                <w:sz w:val="28"/>
                <w:szCs w:val="28"/>
              </w:rPr>
            </w:pPr>
            <w:r>
              <w:rPr>
                <w:b/>
                <w:sz w:val="28"/>
                <w:szCs w:val="28"/>
              </w:rPr>
              <w:t xml:space="preserve"> </w:t>
            </w:r>
            <w:r w:rsidR="00061209">
              <w:rPr>
                <w:b/>
                <w:sz w:val="28"/>
                <w:szCs w:val="28"/>
              </w:rPr>
              <w:t xml:space="preserve">ELA  </w:t>
            </w:r>
            <w:r w:rsidR="00C45E62">
              <w:rPr>
                <w:b/>
                <w:sz w:val="28"/>
                <w:szCs w:val="28"/>
              </w:rPr>
              <w:t>GRADE</w:t>
            </w:r>
            <w:r w:rsidR="00A2480B">
              <w:rPr>
                <w:b/>
                <w:sz w:val="28"/>
                <w:szCs w:val="28"/>
              </w:rPr>
              <w:t xml:space="preserve"> </w:t>
            </w:r>
            <w:r w:rsidR="00061209">
              <w:rPr>
                <w:b/>
                <w:sz w:val="28"/>
                <w:szCs w:val="28"/>
              </w:rPr>
              <w:t>4</w:t>
            </w:r>
            <w:r w:rsidR="00A2480B">
              <w:rPr>
                <w:b/>
                <w:sz w:val="28"/>
                <w:szCs w:val="28"/>
              </w:rPr>
              <w:t xml:space="preserve"> </w:t>
            </w:r>
          </w:p>
        </w:tc>
      </w:tr>
      <w:tr w:rsidR="00790DB4" w:rsidTr="00E93398">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E93398" w:rsidP="00CE53A1">
            <w:pPr>
              <w:jc w:val="center"/>
              <w:rPr>
                <w:b/>
                <w:sz w:val="48"/>
                <w:szCs w:val="48"/>
              </w:rPr>
            </w:pPr>
            <w:r>
              <w:rPr>
                <w:b/>
                <w:sz w:val="48"/>
                <w:szCs w:val="48"/>
              </w:rPr>
              <w:t>Reading Informational</w:t>
            </w:r>
            <w:r w:rsidR="006C4947" w:rsidRPr="006C4947">
              <w:rPr>
                <w:b/>
                <w:sz w:val="48"/>
                <w:szCs w:val="48"/>
              </w:rPr>
              <w:t xml:space="preserve"> </w:t>
            </w:r>
          </w:p>
        </w:tc>
      </w:tr>
      <w:tr w:rsidR="00E27B6D" w:rsidTr="00E93398">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Pr="00E27B6D" w:rsidRDefault="00E93398" w:rsidP="00E93398">
            <w:pPr>
              <w:rPr>
                <w:sz w:val="24"/>
                <w:szCs w:val="24"/>
              </w:rPr>
            </w:pPr>
            <w:r w:rsidRPr="00055119">
              <w:rPr>
                <w:rFonts w:ascii="Calibri" w:eastAsia="Times New Roman" w:hAnsi="Calibri"/>
              </w:rPr>
              <w:t>Assess how point of view or purpose shapes the content and style of a text.</w:t>
            </w:r>
          </w:p>
        </w:tc>
      </w:tr>
      <w:tr w:rsidR="00E27B6D" w:rsidTr="00E93398">
        <w:trPr>
          <w:trHeight w:val="647"/>
        </w:trPr>
        <w:tc>
          <w:tcPr>
            <w:tcW w:w="2671" w:type="dxa"/>
            <w:gridSpan w:val="2"/>
            <w:shd w:val="clear" w:color="auto" w:fill="D9D9D9" w:themeFill="background1" w:themeFillShade="D9"/>
          </w:tcPr>
          <w:p w:rsidR="00E27B6D" w:rsidRPr="004E63AB" w:rsidRDefault="00ED2DAE" w:rsidP="00E93398">
            <w:pPr>
              <w:jc w:val="center"/>
              <w:rPr>
                <w:b/>
                <w:sz w:val="28"/>
                <w:szCs w:val="28"/>
              </w:rPr>
            </w:pPr>
            <w:r>
              <w:rPr>
                <w:b/>
                <w:sz w:val="28"/>
                <w:szCs w:val="28"/>
              </w:rPr>
              <w:t>ELA.</w:t>
            </w:r>
            <w:r w:rsidR="00E93398">
              <w:rPr>
                <w:b/>
                <w:sz w:val="28"/>
                <w:szCs w:val="28"/>
              </w:rPr>
              <w:t>4.RI.6</w:t>
            </w:r>
          </w:p>
        </w:tc>
        <w:tc>
          <w:tcPr>
            <w:tcW w:w="7427" w:type="dxa"/>
            <w:shd w:val="clear" w:color="auto" w:fill="D9D9D9" w:themeFill="background1" w:themeFillShade="D9"/>
          </w:tcPr>
          <w:p w:rsidR="002C5F5D" w:rsidRPr="00DA05E6" w:rsidRDefault="002C5F5D" w:rsidP="002C5F5D">
            <w:pPr>
              <w:tabs>
                <w:tab w:val="left" w:pos="1170"/>
              </w:tabs>
              <w:autoSpaceDE w:val="0"/>
              <w:autoSpaceDN w:val="0"/>
              <w:adjustRightInd w:val="0"/>
              <w:spacing w:before="30"/>
              <w:ind w:left="1170" w:right="450" w:hanging="1170"/>
              <w:rPr>
                <w:rFonts w:ascii="Calibri" w:eastAsia="Times New Roman" w:hAnsi="Calibri" w:cs="Arial"/>
              </w:rPr>
            </w:pPr>
            <w:r w:rsidRPr="00E93398">
              <w:rPr>
                <w:rFonts w:ascii="Calibri" w:eastAsia="Times New Roman" w:hAnsi="Calibri" w:cs="Arial"/>
              </w:rPr>
              <w:t>℗4.RI.6</w:t>
            </w:r>
            <w:r w:rsidRPr="00E93398">
              <w:rPr>
                <w:rFonts w:ascii="Calibri" w:eastAsia="Times New Roman" w:hAnsi="Calibri" w:cs="Arial"/>
              </w:rPr>
              <w:tab/>
            </w:r>
            <w:r w:rsidRPr="00E93398">
              <w:rPr>
                <w:rFonts w:ascii="Calibri" w:eastAsia="Times New Roman" w:hAnsi="Calibri" w:cs="Perpetua"/>
              </w:rPr>
              <w:t>Compare and contrast a firsthand and secondhand account of the same event or topic; describe the differences in focus and the information provided</w:t>
            </w:r>
            <w:r w:rsidRPr="00E93398">
              <w:rPr>
                <w:rFonts w:ascii="Calibri" w:eastAsia="Times New Roman" w:hAnsi="Calibri" w:cs="Arial"/>
              </w:rPr>
              <w:t>.</w:t>
            </w:r>
          </w:p>
          <w:p w:rsidR="00E27B6D" w:rsidRPr="00790DB4" w:rsidRDefault="00E27B6D" w:rsidP="00E27B6D">
            <w:pPr>
              <w:rPr>
                <w:sz w:val="24"/>
                <w:szCs w:val="24"/>
              </w:rPr>
            </w:pPr>
          </w:p>
        </w:tc>
      </w:tr>
      <w:tr w:rsidR="00E27B6D" w:rsidTr="00E93398">
        <w:trPr>
          <w:trHeight w:val="120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E27B6D" w:rsidRPr="00E93398" w:rsidRDefault="00E93398" w:rsidP="00E27B6D">
            <w:pPr>
              <w:rPr>
                <w:b/>
                <w:i/>
                <w:sz w:val="24"/>
                <w:szCs w:val="24"/>
              </w:rPr>
            </w:pPr>
            <w:r w:rsidRPr="00E93398">
              <w:rPr>
                <w:b/>
                <w:i/>
                <w:sz w:val="24"/>
                <w:szCs w:val="24"/>
              </w:rPr>
              <w:t>Consistently and thoroughly</w:t>
            </w:r>
          </w:p>
          <w:p w:rsidR="00A2480B" w:rsidRPr="00E93398" w:rsidRDefault="00E93398" w:rsidP="00E93398">
            <w:pPr>
              <w:pStyle w:val="ListParagraph"/>
              <w:ind w:left="0"/>
              <w:rPr>
                <w:sz w:val="24"/>
                <w:szCs w:val="24"/>
              </w:rPr>
            </w:pPr>
            <w:r w:rsidRPr="00E93398">
              <w:rPr>
                <w:rFonts w:ascii="Calibri" w:eastAsia="Times New Roman" w:hAnsi="Calibri" w:cs="Perpetua"/>
              </w:rPr>
              <w:t>Compare and contrast a firsthand and secondhand account of the same event or topic; describe the differences in focus and the information provided</w:t>
            </w:r>
            <w:r>
              <w:rPr>
                <w:rFonts w:ascii="Calibri" w:eastAsia="Times New Roman" w:hAnsi="Calibri" w:cs="Arial"/>
              </w:rPr>
              <w:t xml:space="preserve"> </w:t>
            </w:r>
            <w:r w:rsidRPr="00E93398">
              <w:rPr>
                <w:rFonts w:ascii="Calibri" w:eastAsia="Times New Roman" w:hAnsi="Calibri" w:cs="Arial"/>
                <w:highlight w:val="yellow"/>
              </w:rPr>
              <w:t>using an appropriate benchmark level text.</w:t>
            </w:r>
          </w:p>
        </w:tc>
      </w:tr>
      <w:tr w:rsidR="00E27B6D" w:rsidTr="00E93398">
        <w:trPr>
          <w:trHeight w:val="1268"/>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E93398" w:rsidRPr="00E93398" w:rsidRDefault="00E93398" w:rsidP="00E93398">
            <w:pPr>
              <w:rPr>
                <w:b/>
                <w:i/>
                <w:sz w:val="24"/>
                <w:szCs w:val="24"/>
              </w:rPr>
            </w:pPr>
            <w:r>
              <w:rPr>
                <w:b/>
                <w:i/>
                <w:sz w:val="24"/>
                <w:szCs w:val="24"/>
              </w:rPr>
              <w:t>Usually and adequately</w:t>
            </w:r>
          </w:p>
          <w:p w:rsidR="00A2480B" w:rsidRPr="00E93398" w:rsidRDefault="00E93398" w:rsidP="00E93398">
            <w:pPr>
              <w:rPr>
                <w:i/>
                <w:sz w:val="24"/>
                <w:szCs w:val="24"/>
              </w:rPr>
            </w:pPr>
            <w:r w:rsidRPr="00E93398">
              <w:rPr>
                <w:rFonts w:ascii="Calibri" w:eastAsia="Times New Roman" w:hAnsi="Calibri" w:cs="Perpetua"/>
              </w:rPr>
              <w:t>Compare and contrast a firsthand and secondhand account of the same event or topic; describe the differences in focus and the information provided</w:t>
            </w:r>
            <w:r>
              <w:rPr>
                <w:rFonts w:ascii="Calibri" w:eastAsia="Times New Roman" w:hAnsi="Calibri" w:cs="Arial"/>
              </w:rPr>
              <w:t xml:space="preserve"> </w:t>
            </w:r>
            <w:r w:rsidRPr="00E93398">
              <w:rPr>
                <w:rFonts w:ascii="Calibri" w:eastAsia="Times New Roman" w:hAnsi="Calibri" w:cs="Arial"/>
                <w:highlight w:val="yellow"/>
              </w:rPr>
              <w:t>using an appropriate benchmark level text</w:t>
            </w:r>
            <w:r>
              <w:rPr>
                <w:rFonts w:ascii="Calibri" w:eastAsia="Times New Roman" w:hAnsi="Calibri" w:cs="Arial"/>
              </w:rPr>
              <w:t>.</w:t>
            </w:r>
          </w:p>
        </w:tc>
      </w:tr>
      <w:tr w:rsidR="00E27B6D" w:rsidTr="00E93398">
        <w:trPr>
          <w:trHeight w:val="1250"/>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E93398" w:rsidRPr="00E93398" w:rsidRDefault="00E93398" w:rsidP="00E93398">
            <w:pPr>
              <w:rPr>
                <w:b/>
                <w:i/>
                <w:sz w:val="24"/>
                <w:szCs w:val="24"/>
              </w:rPr>
            </w:pPr>
            <w:r>
              <w:rPr>
                <w:b/>
                <w:i/>
                <w:sz w:val="24"/>
                <w:szCs w:val="24"/>
              </w:rPr>
              <w:t>Sometimes and/or with assistance</w:t>
            </w:r>
          </w:p>
          <w:p w:rsidR="00A35DBE" w:rsidRDefault="00E93398" w:rsidP="00E93398">
            <w:pPr>
              <w:rPr>
                <w:rFonts w:ascii="Calibri" w:eastAsia="Times New Roman" w:hAnsi="Calibri" w:cs="Arial"/>
              </w:rPr>
            </w:pPr>
            <w:r w:rsidRPr="00E93398">
              <w:rPr>
                <w:rFonts w:ascii="Calibri" w:eastAsia="Times New Roman" w:hAnsi="Calibri" w:cs="Perpetua"/>
              </w:rPr>
              <w:t>Compare and contrast a firsthand and secondhand account of the same event or topic; describe the differences in focus and the information provided</w:t>
            </w:r>
            <w:r>
              <w:rPr>
                <w:rFonts w:ascii="Calibri" w:eastAsia="Times New Roman" w:hAnsi="Calibri" w:cs="Arial"/>
              </w:rPr>
              <w:t xml:space="preserve"> </w:t>
            </w:r>
          </w:p>
          <w:p w:rsidR="00A35DBE" w:rsidRDefault="00A35DBE" w:rsidP="00A35DBE">
            <w:pPr>
              <w:pStyle w:val="ListParagraph"/>
              <w:ind w:left="0"/>
              <w:rPr>
                <w:sz w:val="20"/>
                <w:szCs w:val="20"/>
              </w:rPr>
            </w:pPr>
            <w:r>
              <w:rPr>
                <w:sz w:val="20"/>
                <w:szCs w:val="20"/>
                <w:highlight w:val="yellow"/>
              </w:rPr>
              <w:t>Using  an appropriate level benchmark text</w:t>
            </w:r>
            <w:r>
              <w:rPr>
                <w:sz w:val="20"/>
                <w:szCs w:val="20"/>
              </w:rPr>
              <w:t xml:space="preserve"> </w:t>
            </w:r>
          </w:p>
          <w:p w:rsidR="00A2480B" w:rsidRPr="00E93398" w:rsidRDefault="00A35DBE" w:rsidP="00A35DBE">
            <w:pPr>
              <w:rPr>
                <w:i/>
                <w:sz w:val="24"/>
                <w:szCs w:val="24"/>
              </w:rPr>
            </w:pPr>
            <w:r>
              <w:rPr>
                <w:sz w:val="20"/>
                <w:szCs w:val="20"/>
                <w:highlight w:val="yellow"/>
              </w:rPr>
              <w:t>Or can consistently and effectively (or usually and adequately) demonstrate skill with a text read by the teacher</w:t>
            </w:r>
          </w:p>
        </w:tc>
      </w:tr>
      <w:tr w:rsidR="00E27B6D" w:rsidTr="00E93398">
        <w:trPr>
          <w:trHeight w:val="1313"/>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E93398" w:rsidRPr="00E93398" w:rsidRDefault="00E93398" w:rsidP="00E93398">
            <w:pPr>
              <w:rPr>
                <w:b/>
                <w:i/>
                <w:sz w:val="24"/>
                <w:szCs w:val="24"/>
              </w:rPr>
            </w:pPr>
            <w:r>
              <w:rPr>
                <w:b/>
                <w:i/>
                <w:sz w:val="24"/>
                <w:szCs w:val="24"/>
              </w:rPr>
              <w:t>Needs considerable assistance to or cannot yet</w:t>
            </w:r>
          </w:p>
          <w:p w:rsidR="00E27B6D" w:rsidRPr="00713990" w:rsidRDefault="00E93398" w:rsidP="00E93398">
            <w:pPr>
              <w:rPr>
                <w:sz w:val="24"/>
                <w:szCs w:val="24"/>
              </w:rPr>
            </w:pPr>
            <w:r w:rsidRPr="00E93398">
              <w:rPr>
                <w:rFonts w:ascii="Calibri" w:eastAsia="Times New Roman" w:hAnsi="Calibri" w:cs="Perpetua"/>
              </w:rPr>
              <w:t>Compare and contrast a firsthand and secondhand account of the same event or topic; describe the differences in focus and the information provided</w:t>
            </w:r>
            <w:r>
              <w:rPr>
                <w:rFonts w:ascii="Calibri" w:eastAsia="Times New Roman" w:hAnsi="Calibri" w:cs="Arial"/>
              </w:rPr>
              <w:t xml:space="preserve"> </w:t>
            </w:r>
            <w:r w:rsidR="00A35DBE">
              <w:rPr>
                <w:rFonts w:ascii="Calibri" w:eastAsia="Times New Roman" w:hAnsi="Calibri" w:cs="Arial"/>
              </w:rPr>
              <w:t xml:space="preserve">neither </w:t>
            </w:r>
            <w:r w:rsidRPr="00E93398">
              <w:rPr>
                <w:rFonts w:ascii="Calibri" w:eastAsia="Times New Roman" w:hAnsi="Calibri" w:cs="Arial"/>
                <w:highlight w:val="yellow"/>
              </w:rPr>
              <w:t>using an appropriate benchmark level text</w:t>
            </w:r>
            <w:r w:rsidR="00A35DBE">
              <w:rPr>
                <w:rFonts w:ascii="Calibri" w:eastAsia="Times New Roman" w:hAnsi="Calibri" w:cs="Arial"/>
                <w:highlight w:val="yellow"/>
              </w:rPr>
              <w:t xml:space="preserve"> nor from a teacher read aloud</w:t>
            </w:r>
            <w:r w:rsidRPr="00E93398">
              <w:rPr>
                <w:rFonts w:ascii="Calibri" w:eastAsia="Times New Roman" w:hAnsi="Calibri" w:cs="Arial"/>
                <w:highlight w:val="yellow"/>
              </w:rPr>
              <w:t>.</w:t>
            </w:r>
          </w:p>
        </w:tc>
      </w:tr>
      <w:tr w:rsidR="00392084" w:rsidTr="00E93398">
        <w:trPr>
          <w:trHeight w:val="926"/>
        </w:trPr>
        <w:tc>
          <w:tcPr>
            <w:tcW w:w="10098" w:type="dxa"/>
            <w:gridSpan w:val="3"/>
            <w:shd w:val="clear" w:color="auto" w:fill="D9D9D9" w:themeFill="background1" w:themeFillShade="D9"/>
          </w:tcPr>
          <w:p w:rsidR="00726C99" w:rsidRDefault="00726C99" w:rsidP="00726C99">
            <w:pPr>
              <w:rPr>
                <w:b/>
                <w:i/>
                <w:sz w:val="24"/>
                <w:szCs w:val="24"/>
              </w:rPr>
            </w:pPr>
            <w:r w:rsidRPr="00954B0B">
              <w:rPr>
                <w:b/>
                <w:i/>
                <w:sz w:val="24"/>
                <w:szCs w:val="24"/>
              </w:rPr>
              <w:t>CCSS—Grade Specific Reading Informational Standard 10</w:t>
            </w:r>
            <w:r>
              <w:rPr>
                <w:b/>
                <w:i/>
                <w:sz w:val="24"/>
                <w:szCs w:val="24"/>
              </w:rPr>
              <w:t xml:space="preserve"> (Grade 4</w:t>
            </w:r>
            <w:r w:rsidRPr="00954B0B">
              <w:rPr>
                <w:b/>
                <w:i/>
                <w:sz w:val="24"/>
                <w:szCs w:val="24"/>
              </w:rPr>
              <w:t>)</w:t>
            </w:r>
          </w:p>
          <w:p w:rsidR="00A2480B" w:rsidRPr="00E93398" w:rsidRDefault="00726C99" w:rsidP="00E27B6D">
            <w:pPr>
              <w:rPr>
                <w:b/>
                <w:i/>
                <w:sz w:val="24"/>
                <w:szCs w:val="24"/>
              </w:rPr>
            </w:pPr>
            <w:r w:rsidRPr="00DA05E6">
              <w:rPr>
                <w:rFonts w:ascii="Calibri" w:hAnsi="Calibri"/>
                <w:color w:val="000000"/>
              </w:rPr>
              <w:t xml:space="preserve">By the end of year, read and comprehend informational texts, including history/social studies, science, and technical texts, in the grades 4–5 text complexity band proficiently, with scaffolding as needed at the high end of </w:t>
            </w:r>
            <w:r w:rsidRPr="00DA05E6">
              <w:rPr>
                <w:rFonts w:ascii="Calibri" w:hAnsi="Calibri"/>
              </w:rPr>
              <w:t>the range</w:t>
            </w:r>
            <w:r w:rsidRPr="00DA05E6">
              <w:rPr>
                <w:rFonts w:ascii="Calibri" w:eastAsia="Times New Roman" w:hAnsi="Calibri" w:cs="Arial"/>
              </w:rPr>
              <w:t>.</w:t>
            </w:r>
          </w:p>
        </w:tc>
      </w:tr>
    </w:tbl>
    <w:p w:rsidR="00E93398" w:rsidRDefault="00E93398">
      <w:bookmarkStart w:id="0" w:name="_GoBack"/>
      <w:bookmarkEnd w:id="0"/>
    </w:p>
    <w:tbl>
      <w:tblPr>
        <w:tblStyle w:val="TableGrid"/>
        <w:tblpPr w:leftFromText="180" w:rightFromText="180" w:vertAnchor="page" w:horzAnchor="margin" w:tblpY="11727"/>
        <w:tblW w:w="10098" w:type="dxa"/>
        <w:tblLayout w:type="fixed"/>
        <w:tblLook w:val="04A0" w:firstRow="1" w:lastRow="0" w:firstColumn="1" w:lastColumn="0" w:noHBand="0" w:noVBand="1"/>
      </w:tblPr>
      <w:tblGrid>
        <w:gridCol w:w="2448"/>
        <w:gridCol w:w="2520"/>
        <w:gridCol w:w="2340"/>
        <w:gridCol w:w="2790"/>
      </w:tblGrid>
      <w:tr w:rsidR="00E93398" w:rsidTr="00E93398">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93398" w:rsidRDefault="00E93398" w:rsidP="00E93398">
            <w:pPr>
              <w:jc w:val="center"/>
              <w:rPr>
                <w:i/>
              </w:rPr>
            </w:pPr>
            <w:r>
              <w:t xml:space="preserve">Fourth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E93398" w:rsidTr="00E93398">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Fall Benchmark STAR</w:t>
            </w:r>
          </w:p>
          <w:p w:rsidR="00E93398" w:rsidRDefault="00E93398" w:rsidP="00A35DBE">
            <w:pPr>
              <w:jc w:val="center"/>
              <w:rPr>
                <w:b/>
                <w:sz w:val="20"/>
                <w:szCs w:val="20"/>
              </w:rPr>
            </w:pPr>
            <w:r>
              <w:rPr>
                <w:b/>
                <w:sz w:val="20"/>
                <w:szCs w:val="20"/>
              </w:rPr>
              <w:t>Scaled Score: 4</w:t>
            </w:r>
            <w:r w:rsidR="00A35DBE">
              <w:rPr>
                <w:b/>
                <w:sz w:val="20"/>
                <w:szCs w:val="20"/>
              </w:rPr>
              <w:t>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January Benchmark STAR</w:t>
            </w:r>
          </w:p>
          <w:p w:rsidR="00E93398" w:rsidRDefault="00E93398" w:rsidP="00A35DBE">
            <w:pPr>
              <w:jc w:val="center"/>
              <w:rPr>
                <w:b/>
                <w:sz w:val="20"/>
                <w:szCs w:val="20"/>
              </w:rPr>
            </w:pPr>
            <w:r>
              <w:rPr>
                <w:b/>
                <w:sz w:val="20"/>
                <w:szCs w:val="20"/>
              </w:rPr>
              <w:t>Scaled Score: 4</w:t>
            </w:r>
            <w:r w:rsidR="00A35DBE">
              <w:rPr>
                <w:b/>
                <w:sz w:val="20"/>
                <w:szCs w:val="20"/>
              </w:rPr>
              <w:t>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March Benchmark STAR</w:t>
            </w:r>
          </w:p>
          <w:p w:rsidR="00E93398" w:rsidRDefault="00E93398" w:rsidP="00E93398">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June Benchmark STAR</w:t>
            </w:r>
          </w:p>
          <w:p w:rsidR="00E93398" w:rsidRDefault="00E93398" w:rsidP="00A35DBE">
            <w:pPr>
              <w:jc w:val="center"/>
              <w:rPr>
                <w:b/>
                <w:sz w:val="20"/>
                <w:szCs w:val="20"/>
              </w:rPr>
            </w:pPr>
            <w:r>
              <w:rPr>
                <w:b/>
                <w:sz w:val="20"/>
                <w:szCs w:val="20"/>
              </w:rPr>
              <w:t>Scaled Score: 5</w:t>
            </w:r>
            <w:r w:rsidR="00A35DBE">
              <w:rPr>
                <w:b/>
                <w:sz w:val="20"/>
                <w:szCs w:val="20"/>
              </w:rPr>
              <w:t>20</w:t>
            </w:r>
          </w:p>
        </w:tc>
      </w:tr>
      <w:tr w:rsidR="00E93398" w:rsidTr="00E93398">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Fall Benchmark</w:t>
            </w:r>
          </w:p>
          <w:p w:rsidR="00E93398" w:rsidRDefault="00E93398" w:rsidP="00E93398">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January Benchmark</w:t>
            </w:r>
          </w:p>
          <w:p w:rsidR="00E93398" w:rsidRDefault="00E93398" w:rsidP="00E93398">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March  Benchmark</w:t>
            </w:r>
          </w:p>
          <w:p w:rsidR="00E93398" w:rsidRDefault="00E93398" w:rsidP="00E93398">
            <w:pPr>
              <w:jc w:val="center"/>
              <w:rPr>
                <w:b/>
                <w:sz w:val="20"/>
                <w:szCs w:val="20"/>
              </w:rPr>
            </w:pPr>
            <w:r>
              <w:rPr>
                <w:b/>
                <w:sz w:val="20"/>
                <w:szCs w:val="20"/>
              </w:rPr>
              <w:t>F &amp; P Level R</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E93398" w:rsidRDefault="00E93398" w:rsidP="00E93398">
            <w:pPr>
              <w:jc w:val="center"/>
              <w:rPr>
                <w:b/>
                <w:sz w:val="20"/>
                <w:szCs w:val="20"/>
              </w:rPr>
            </w:pPr>
            <w:r>
              <w:rPr>
                <w:b/>
                <w:sz w:val="20"/>
                <w:szCs w:val="20"/>
              </w:rPr>
              <w:t>June Benchmark</w:t>
            </w:r>
          </w:p>
          <w:p w:rsidR="00E93398" w:rsidRDefault="00E93398" w:rsidP="00E93398">
            <w:pPr>
              <w:jc w:val="center"/>
              <w:rPr>
                <w:b/>
                <w:sz w:val="20"/>
                <w:szCs w:val="20"/>
              </w:rPr>
            </w:pPr>
            <w:r>
              <w:rPr>
                <w:b/>
                <w:sz w:val="20"/>
                <w:szCs w:val="20"/>
              </w:rPr>
              <w:t>F &amp; P Level S</w:t>
            </w:r>
          </w:p>
        </w:tc>
      </w:tr>
    </w:tbl>
    <w:p w:rsidR="0075571F" w:rsidRDefault="0075571F"/>
    <w:sectPr w:rsidR="0075571F" w:rsidSect="00E9339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2E" w:rsidRDefault="00E0182E" w:rsidP="0025773A">
      <w:pPr>
        <w:spacing w:after="0" w:line="240" w:lineRule="auto"/>
      </w:pPr>
      <w:r>
        <w:separator/>
      </w:r>
    </w:p>
  </w:endnote>
  <w:endnote w:type="continuationSeparator" w:id="0">
    <w:p w:rsidR="00E0182E" w:rsidRDefault="00E0182E"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2E" w:rsidRDefault="00E0182E" w:rsidP="0025773A">
      <w:pPr>
        <w:spacing w:after="0" w:line="240" w:lineRule="auto"/>
      </w:pPr>
      <w:r>
        <w:separator/>
      </w:r>
    </w:p>
  </w:footnote>
  <w:footnote w:type="continuationSeparator" w:id="0">
    <w:p w:rsidR="00E0182E" w:rsidRDefault="00E0182E"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61209"/>
    <w:rsid w:val="000C33C8"/>
    <w:rsid w:val="001061C5"/>
    <w:rsid w:val="00154505"/>
    <w:rsid w:val="00255C22"/>
    <w:rsid w:val="0025773A"/>
    <w:rsid w:val="002C5F5D"/>
    <w:rsid w:val="002D20BA"/>
    <w:rsid w:val="00324969"/>
    <w:rsid w:val="00392084"/>
    <w:rsid w:val="003C52DB"/>
    <w:rsid w:val="003F613A"/>
    <w:rsid w:val="00422D90"/>
    <w:rsid w:val="004E63AB"/>
    <w:rsid w:val="005351F0"/>
    <w:rsid w:val="00551E5B"/>
    <w:rsid w:val="0058169E"/>
    <w:rsid w:val="005D27A6"/>
    <w:rsid w:val="005E62D4"/>
    <w:rsid w:val="00653F74"/>
    <w:rsid w:val="0069739C"/>
    <w:rsid w:val="00697C7C"/>
    <w:rsid w:val="006A690A"/>
    <w:rsid w:val="006C4947"/>
    <w:rsid w:val="007108B0"/>
    <w:rsid w:val="00713990"/>
    <w:rsid w:val="0072136B"/>
    <w:rsid w:val="00726C99"/>
    <w:rsid w:val="0075571F"/>
    <w:rsid w:val="0077597F"/>
    <w:rsid w:val="00790DB4"/>
    <w:rsid w:val="007934F0"/>
    <w:rsid w:val="007B20DA"/>
    <w:rsid w:val="008E53E9"/>
    <w:rsid w:val="008F2CF3"/>
    <w:rsid w:val="00954B0B"/>
    <w:rsid w:val="009773A4"/>
    <w:rsid w:val="009B1828"/>
    <w:rsid w:val="009C5077"/>
    <w:rsid w:val="009E4A88"/>
    <w:rsid w:val="00A2480B"/>
    <w:rsid w:val="00A35DBE"/>
    <w:rsid w:val="00A63565"/>
    <w:rsid w:val="00A87EB7"/>
    <w:rsid w:val="00AB52D2"/>
    <w:rsid w:val="00AB7841"/>
    <w:rsid w:val="00AC3D5E"/>
    <w:rsid w:val="00B95B24"/>
    <w:rsid w:val="00BC7573"/>
    <w:rsid w:val="00C3558B"/>
    <w:rsid w:val="00C45E62"/>
    <w:rsid w:val="00C95BD9"/>
    <w:rsid w:val="00C97675"/>
    <w:rsid w:val="00CA46E2"/>
    <w:rsid w:val="00CA6517"/>
    <w:rsid w:val="00CD621D"/>
    <w:rsid w:val="00CE53A1"/>
    <w:rsid w:val="00CE7178"/>
    <w:rsid w:val="00D8709C"/>
    <w:rsid w:val="00DC24CD"/>
    <w:rsid w:val="00DE6679"/>
    <w:rsid w:val="00DE744E"/>
    <w:rsid w:val="00E0182E"/>
    <w:rsid w:val="00E27B6D"/>
    <w:rsid w:val="00E7369F"/>
    <w:rsid w:val="00E93398"/>
    <w:rsid w:val="00ED2DAE"/>
    <w:rsid w:val="00F12766"/>
    <w:rsid w:val="00F604CB"/>
    <w:rsid w:val="00F72899"/>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BB579-27BC-4CE2-A258-DDEC2025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2015-05-01T18:54:00Z</dcterms:created>
  <dcterms:modified xsi:type="dcterms:W3CDTF">2015-05-01T18:54:00Z</dcterms:modified>
</cp:coreProperties>
</file>