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8A27C1">
        <w:trPr>
          <w:trHeight w:val="440"/>
        </w:trPr>
        <w:tc>
          <w:tcPr>
            <w:tcW w:w="10098" w:type="dxa"/>
            <w:gridSpan w:val="3"/>
            <w:tcBorders>
              <w:bottom w:val="single" w:sz="4" w:space="0" w:color="auto"/>
            </w:tcBorders>
            <w:shd w:val="clear" w:color="auto" w:fill="548DD4" w:themeFill="text2" w:themeFillTint="99"/>
          </w:tcPr>
          <w:p w:rsidR="00697C7C" w:rsidRDefault="00697C7C" w:rsidP="00E27B6D">
            <w:pPr>
              <w:jc w:val="center"/>
              <w:rPr>
                <w:b/>
                <w:sz w:val="28"/>
                <w:szCs w:val="28"/>
              </w:rPr>
            </w:pPr>
            <w:r>
              <w:rPr>
                <w:b/>
                <w:sz w:val="28"/>
                <w:szCs w:val="28"/>
              </w:rPr>
              <w:t xml:space="preserve"> </w:t>
            </w:r>
            <w:r w:rsidR="00C45E62">
              <w:rPr>
                <w:b/>
                <w:sz w:val="28"/>
                <w:szCs w:val="28"/>
              </w:rPr>
              <w:t>GRADE</w:t>
            </w:r>
            <w:r w:rsidR="00A32862">
              <w:rPr>
                <w:b/>
                <w:sz w:val="28"/>
                <w:szCs w:val="28"/>
              </w:rPr>
              <w:t xml:space="preserve"> 5</w:t>
            </w:r>
            <w:r w:rsidR="00A2480B">
              <w:rPr>
                <w:b/>
                <w:sz w:val="28"/>
                <w:szCs w:val="28"/>
              </w:rPr>
              <w:t xml:space="preserve"> </w:t>
            </w:r>
            <w:r>
              <w:rPr>
                <w:b/>
                <w:sz w:val="28"/>
                <w:szCs w:val="28"/>
              </w:rPr>
              <w:t>ELA</w:t>
            </w:r>
          </w:p>
        </w:tc>
      </w:tr>
      <w:tr w:rsidR="00790DB4" w:rsidTr="008A27C1">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E84E5B" w:rsidP="00CE53A1">
            <w:pPr>
              <w:jc w:val="center"/>
              <w:rPr>
                <w:b/>
                <w:sz w:val="48"/>
                <w:szCs w:val="48"/>
              </w:rPr>
            </w:pPr>
            <w:r>
              <w:rPr>
                <w:b/>
                <w:sz w:val="48"/>
                <w:szCs w:val="48"/>
              </w:rPr>
              <w:t>Reading Literary</w:t>
            </w:r>
          </w:p>
        </w:tc>
      </w:tr>
      <w:tr w:rsidR="00E27B6D" w:rsidTr="008A27C1">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Pr="00E27B6D" w:rsidRDefault="00B70348" w:rsidP="00E27B6D">
            <w:pPr>
              <w:rPr>
                <w:sz w:val="24"/>
                <w:szCs w:val="24"/>
              </w:rPr>
            </w:pPr>
            <w:r w:rsidRPr="00055119">
              <w:rPr>
                <w:rFonts w:ascii="Calibri" w:eastAsia="Times New Roman" w:hAnsi="Calibri"/>
              </w:rPr>
              <w:t>Read closely to determine what the text says explicitly and to make logical inferences from it; cite specific textual evidence when writing or speaking to support conclusions drawn from the text.</w:t>
            </w:r>
          </w:p>
        </w:tc>
      </w:tr>
      <w:tr w:rsidR="00E27B6D" w:rsidTr="008A27C1">
        <w:trPr>
          <w:trHeight w:val="647"/>
        </w:trPr>
        <w:tc>
          <w:tcPr>
            <w:tcW w:w="2671" w:type="dxa"/>
            <w:gridSpan w:val="2"/>
            <w:shd w:val="clear" w:color="auto" w:fill="D9D9D9" w:themeFill="background1" w:themeFillShade="D9"/>
          </w:tcPr>
          <w:p w:rsidR="00E27B6D" w:rsidRPr="004E63AB" w:rsidRDefault="00A32862" w:rsidP="00E27B6D">
            <w:pPr>
              <w:jc w:val="center"/>
              <w:rPr>
                <w:b/>
                <w:sz w:val="28"/>
                <w:szCs w:val="28"/>
              </w:rPr>
            </w:pPr>
            <w:r>
              <w:rPr>
                <w:b/>
                <w:sz w:val="28"/>
                <w:szCs w:val="28"/>
              </w:rPr>
              <w:t>ELA.5.RL</w:t>
            </w:r>
            <w:r w:rsidR="00ED2DAE">
              <w:rPr>
                <w:b/>
                <w:sz w:val="28"/>
                <w:szCs w:val="28"/>
              </w:rPr>
              <w:t>.</w:t>
            </w:r>
            <w:r w:rsidR="00B70348">
              <w:rPr>
                <w:b/>
                <w:sz w:val="28"/>
                <w:szCs w:val="28"/>
              </w:rPr>
              <w:t>1</w:t>
            </w:r>
          </w:p>
        </w:tc>
        <w:tc>
          <w:tcPr>
            <w:tcW w:w="7427" w:type="dxa"/>
            <w:shd w:val="clear" w:color="auto" w:fill="D9D9D9" w:themeFill="background1" w:themeFillShade="D9"/>
          </w:tcPr>
          <w:p w:rsidR="00E27B6D" w:rsidRPr="00790DB4" w:rsidRDefault="00B70348" w:rsidP="00E27B6D">
            <w:pPr>
              <w:rPr>
                <w:sz w:val="24"/>
                <w:szCs w:val="24"/>
              </w:rPr>
            </w:pPr>
            <w:r w:rsidRPr="00B70348">
              <w:rPr>
                <w:rFonts w:ascii="Calibri" w:eastAsia="Times New Roman" w:hAnsi="Calibri"/>
              </w:rPr>
              <w:t>Quote accurately from a text when explaining what the text says explicitly and when drawing inferences from the text</w:t>
            </w:r>
            <w:r w:rsidRPr="00B70348">
              <w:rPr>
                <w:rFonts w:ascii="Calibri" w:eastAsia="Times New Roman" w:hAnsi="Calibri" w:cs="Arial"/>
              </w:rPr>
              <w:t>.</w:t>
            </w:r>
          </w:p>
        </w:tc>
      </w:tr>
      <w:tr w:rsidR="00E27B6D" w:rsidTr="008A27C1">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867ED0" w:rsidRPr="00867ED0" w:rsidRDefault="00323495" w:rsidP="00867ED0">
            <w:pPr>
              <w:rPr>
                <w:rFonts w:ascii="Calibri" w:eastAsia="Times New Roman" w:hAnsi="Calibri"/>
              </w:rPr>
            </w:pPr>
            <w:r>
              <w:rPr>
                <w:rFonts w:ascii="Calibri" w:eastAsia="Times New Roman" w:hAnsi="Calibri"/>
              </w:rPr>
              <w:t xml:space="preserve">Can </w:t>
            </w:r>
            <w:r w:rsidR="00B70348">
              <w:rPr>
                <w:rFonts w:ascii="Calibri" w:eastAsia="Times New Roman" w:hAnsi="Calibri"/>
                <w:b/>
              </w:rPr>
              <w:t xml:space="preserve">thoroughly and accurately </w:t>
            </w:r>
            <w:r w:rsidR="00B70348">
              <w:rPr>
                <w:rFonts w:ascii="Calibri" w:eastAsia="Times New Roman" w:hAnsi="Calibri"/>
              </w:rPr>
              <w:t xml:space="preserve">quote from a text </w:t>
            </w:r>
            <w:r w:rsidR="00E84E5B" w:rsidRPr="008A27C1">
              <w:rPr>
                <w:rFonts w:ascii="Calibri" w:eastAsia="Times New Roman" w:hAnsi="Calibri"/>
                <w:highlight w:val="yellow"/>
              </w:rPr>
              <w:t>at the appropriate benchmark level</w:t>
            </w:r>
            <w:r w:rsidR="00E84E5B">
              <w:rPr>
                <w:rFonts w:ascii="Calibri" w:eastAsia="Times New Roman" w:hAnsi="Calibri"/>
              </w:rPr>
              <w:t xml:space="preserve"> </w:t>
            </w:r>
            <w:r w:rsidR="00B70348">
              <w:rPr>
                <w:rFonts w:ascii="Calibri" w:eastAsia="Times New Roman" w:hAnsi="Calibri"/>
              </w:rPr>
              <w:t>when:</w:t>
            </w:r>
          </w:p>
          <w:p w:rsidR="00867ED0" w:rsidRDefault="00B70348" w:rsidP="00867ED0">
            <w:pPr>
              <w:pStyle w:val="ListParagraph"/>
              <w:numPr>
                <w:ilvl w:val="0"/>
                <w:numId w:val="7"/>
              </w:numPr>
              <w:rPr>
                <w:sz w:val="24"/>
                <w:szCs w:val="24"/>
              </w:rPr>
            </w:pPr>
            <w:r>
              <w:rPr>
                <w:sz w:val="24"/>
                <w:szCs w:val="24"/>
              </w:rPr>
              <w:t>Explicitly explaining what the text says</w:t>
            </w:r>
          </w:p>
          <w:p w:rsidR="00A2480B" w:rsidRPr="00867ED0" w:rsidRDefault="00B70348" w:rsidP="00867ED0">
            <w:pPr>
              <w:pStyle w:val="ListParagraph"/>
              <w:numPr>
                <w:ilvl w:val="0"/>
                <w:numId w:val="7"/>
              </w:numPr>
              <w:rPr>
                <w:sz w:val="24"/>
                <w:szCs w:val="24"/>
              </w:rPr>
            </w:pPr>
            <w:r>
              <w:rPr>
                <w:sz w:val="24"/>
                <w:szCs w:val="24"/>
              </w:rPr>
              <w:t>Drawing inferences from the text</w:t>
            </w:r>
          </w:p>
        </w:tc>
      </w:tr>
      <w:tr w:rsidR="00E27B6D" w:rsidTr="008A27C1">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B70348" w:rsidRPr="00867ED0" w:rsidRDefault="00B70348" w:rsidP="00B70348">
            <w:pPr>
              <w:rPr>
                <w:rFonts w:ascii="Calibri" w:eastAsia="Times New Roman" w:hAnsi="Calibri"/>
              </w:rPr>
            </w:pPr>
            <w:r>
              <w:rPr>
                <w:rFonts w:ascii="Calibri" w:eastAsia="Times New Roman" w:hAnsi="Calibri"/>
              </w:rPr>
              <w:t xml:space="preserve">Can </w:t>
            </w:r>
            <w:r w:rsidR="00845FDE">
              <w:rPr>
                <w:rFonts w:ascii="Calibri" w:eastAsia="Times New Roman" w:hAnsi="Calibri"/>
                <w:b/>
              </w:rPr>
              <w:t xml:space="preserve">reasonably </w:t>
            </w:r>
            <w:r w:rsidR="00E84E5B">
              <w:rPr>
                <w:rFonts w:ascii="Calibri" w:eastAsia="Times New Roman" w:hAnsi="Calibri"/>
              </w:rPr>
              <w:t xml:space="preserve">quote from a text </w:t>
            </w:r>
            <w:r w:rsidR="00E84E5B" w:rsidRPr="008A27C1">
              <w:rPr>
                <w:rFonts w:ascii="Calibri" w:eastAsia="Times New Roman" w:hAnsi="Calibri"/>
                <w:highlight w:val="yellow"/>
              </w:rPr>
              <w:t>at the appropriate benchmark level</w:t>
            </w:r>
            <w:r w:rsidR="00E84E5B">
              <w:rPr>
                <w:rFonts w:ascii="Calibri" w:eastAsia="Times New Roman" w:hAnsi="Calibri"/>
              </w:rPr>
              <w:t xml:space="preserve"> </w:t>
            </w:r>
            <w:r>
              <w:rPr>
                <w:rFonts w:ascii="Calibri" w:eastAsia="Times New Roman" w:hAnsi="Calibri"/>
              </w:rPr>
              <w:t>when:</w:t>
            </w:r>
          </w:p>
          <w:p w:rsidR="00B70348" w:rsidRDefault="00B70348" w:rsidP="00B70348">
            <w:pPr>
              <w:pStyle w:val="ListParagraph"/>
              <w:numPr>
                <w:ilvl w:val="0"/>
                <w:numId w:val="7"/>
              </w:numPr>
              <w:rPr>
                <w:sz w:val="24"/>
                <w:szCs w:val="24"/>
              </w:rPr>
            </w:pPr>
            <w:r>
              <w:rPr>
                <w:sz w:val="24"/>
                <w:szCs w:val="24"/>
              </w:rPr>
              <w:t>Explicitly explaining what the text says</w:t>
            </w:r>
          </w:p>
          <w:p w:rsidR="00867ED0" w:rsidRPr="00323495" w:rsidRDefault="00B70348" w:rsidP="00B70348">
            <w:pPr>
              <w:pStyle w:val="ListParagraph"/>
              <w:numPr>
                <w:ilvl w:val="0"/>
                <w:numId w:val="7"/>
              </w:numPr>
              <w:rPr>
                <w:sz w:val="24"/>
                <w:szCs w:val="24"/>
              </w:rPr>
            </w:pPr>
            <w:r>
              <w:rPr>
                <w:sz w:val="24"/>
                <w:szCs w:val="24"/>
              </w:rPr>
              <w:t>Drawing inferences from the text</w:t>
            </w:r>
          </w:p>
        </w:tc>
      </w:tr>
      <w:tr w:rsidR="00E27B6D" w:rsidTr="008A27C1">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B70348" w:rsidRPr="00867ED0" w:rsidRDefault="00845FDE" w:rsidP="00B70348">
            <w:pPr>
              <w:rPr>
                <w:rFonts w:ascii="Calibri" w:eastAsia="Times New Roman" w:hAnsi="Calibri"/>
              </w:rPr>
            </w:pPr>
            <w:r w:rsidRPr="00845FDE">
              <w:rPr>
                <w:rFonts w:ascii="Calibri" w:eastAsia="Times New Roman" w:hAnsi="Calibri"/>
                <w:b/>
              </w:rPr>
              <w:t>Needs assistance</w:t>
            </w:r>
            <w:r>
              <w:rPr>
                <w:rFonts w:ascii="Calibri" w:eastAsia="Times New Roman" w:hAnsi="Calibri"/>
              </w:rPr>
              <w:t xml:space="preserve"> to</w:t>
            </w:r>
            <w:r w:rsidR="00B70348">
              <w:rPr>
                <w:rFonts w:ascii="Calibri" w:eastAsia="Times New Roman" w:hAnsi="Calibri"/>
                <w:b/>
              </w:rPr>
              <w:t xml:space="preserve"> </w:t>
            </w:r>
            <w:r w:rsidR="00E84E5B">
              <w:rPr>
                <w:rFonts w:ascii="Calibri" w:eastAsia="Times New Roman" w:hAnsi="Calibri"/>
              </w:rPr>
              <w:t xml:space="preserve">quote from a text </w:t>
            </w:r>
            <w:r w:rsidR="00E84E5B" w:rsidRPr="008A27C1">
              <w:rPr>
                <w:rFonts w:ascii="Calibri" w:eastAsia="Times New Roman" w:hAnsi="Calibri"/>
                <w:highlight w:val="yellow"/>
              </w:rPr>
              <w:t>at the appropriate benchmark level</w:t>
            </w:r>
            <w:r w:rsidR="00E84E5B">
              <w:rPr>
                <w:rFonts w:ascii="Calibri" w:eastAsia="Times New Roman" w:hAnsi="Calibri"/>
              </w:rPr>
              <w:t xml:space="preserve"> </w:t>
            </w:r>
            <w:r w:rsidR="00B70348">
              <w:rPr>
                <w:rFonts w:ascii="Calibri" w:eastAsia="Times New Roman" w:hAnsi="Calibri"/>
              </w:rPr>
              <w:t>when:</w:t>
            </w:r>
          </w:p>
          <w:p w:rsidR="00B70348" w:rsidRDefault="00B70348" w:rsidP="00B70348">
            <w:pPr>
              <w:pStyle w:val="ListParagraph"/>
              <w:numPr>
                <w:ilvl w:val="0"/>
                <w:numId w:val="7"/>
              </w:numPr>
              <w:rPr>
                <w:sz w:val="24"/>
                <w:szCs w:val="24"/>
              </w:rPr>
            </w:pPr>
            <w:r>
              <w:rPr>
                <w:sz w:val="24"/>
                <w:szCs w:val="24"/>
              </w:rPr>
              <w:t>Explicitly explaining what the text says</w:t>
            </w:r>
          </w:p>
          <w:p w:rsidR="00A2480B" w:rsidRDefault="00B70348" w:rsidP="00B70348">
            <w:pPr>
              <w:pStyle w:val="ListParagraph"/>
              <w:numPr>
                <w:ilvl w:val="0"/>
                <w:numId w:val="7"/>
              </w:numPr>
              <w:rPr>
                <w:sz w:val="24"/>
                <w:szCs w:val="24"/>
              </w:rPr>
            </w:pPr>
            <w:r>
              <w:rPr>
                <w:sz w:val="24"/>
                <w:szCs w:val="24"/>
              </w:rPr>
              <w:t>Drawing inferences from the text</w:t>
            </w:r>
          </w:p>
          <w:p w:rsidR="0073006D" w:rsidRPr="0073006D" w:rsidRDefault="0073006D" w:rsidP="0073006D">
            <w:pPr>
              <w:rPr>
                <w:sz w:val="24"/>
                <w:szCs w:val="24"/>
              </w:rPr>
            </w:pPr>
            <w:r>
              <w:rPr>
                <w:highlight w:val="yellow"/>
              </w:rPr>
              <w:t>*Student can also receive a 2 if they can do the skill from a text read by the teacher</w:t>
            </w:r>
          </w:p>
        </w:tc>
      </w:tr>
      <w:tr w:rsidR="00E27B6D" w:rsidTr="008A27C1">
        <w:trPr>
          <w:trHeight w:val="989"/>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B70348" w:rsidRPr="00867ED0" w:rsidRDefault="00B70348" w:rsidP="00B70348">
            <w:pPr>
              <w:rPr>
                <w:rFonts w:ascii="Calibri" w:eastAsia="Times New Roman" w:hAnsi="Calibri"/>
              </w:rPr>
            </w:pPr>
            <w:r w:rsidRPr="00B70348">
              <w:rPr>
                <w:rFonts w:ascii="Calibri" w:eastAsia="Times New Roman" w:hAnsi="Calibri"/>
                <w:b/>
              </w:rPr>
              <w:t>Does not yet</w:t>
            </w:r>
            <w:r>
              <w:rPr>
                <w:rFonts w:ascii="Calibri" w:eastAsia="Times New Roman" w:hAnsi="Calibri"/>
                <w:b/>
              </w:rPr>
              <w:t xml:space="preserve"> </w:t>
            </w:r>
            <w:r w:rsidR="00E84E5B">
              <w:rPr>
                <w:rFonts w:ascii="Calibri" w:eastAsia="Times New Roman" w:hAnsi="Calibri"/>
              </w:rPr>
              <w:t xml:space="preserve">quote from a text </w:t>
            </w:r>
            <w:r w:rsidR="00E84E5B" w:rsidRPr="008A27C1">
              <w:rPr>
                <w:rFonts w:ascii="Calibri" w:eastAsia="Times New Roman" w:hAnsi="Calibri"/>
                <w:highlight w:val="yellow"/>
              </w:rPr>
              <w:t>at the appropriate benchmark leve</w:t>
            </w:r>
            <w:r w:rsidR="00E84E5B" w:rsidRPr="0073006D">
              <w:rPr>
                <w:rFonts w:ascii="Calibri" w:eastAsia="Times New Roman" w:hAnsi="Calibri"/>
                <w:highlight w:val="yellow"/>
              </w:rPr>
              <w:t>l</w:t>
            </w:r>
            <w:r w:rsidR="0073006D" w:rsidRPr="0073006D">
              <w:rPr>
                <w:rFonts w:ascii="Calibri" w:eastAsia="Times New Roman" w:hAnsi="Calibri"/>
                <w:highlight w:val="yellow"/>
              </w:rPr>
              <w:t xml:space="preserve"> nor in a teacher read aloud</w:t>
            </w:r>
            <w:r w:rsidR="00E84E5B">
              <w:rPr>
                <w:rFonts w:ascii="Calibri" w:eastAsia="Times New Roman" w:hAnsi="Calibri"/>
              </w:rPr>
              <w:t xml:space="preserve"> </w:t>
            </w:r>
            <w:r>
              <w:rPr>
                <w:rFonts w:ascii="Calibri" w:eastAsia="Times New Roman" w:hAnsi="Calibri"/>
              </w:rPr>
              <w:t>when:</w:t>
            </w:r>
          </w:p>
          <w:p w:rsidR="00B70348" w:rsidRDefault="00B70348" w:rsidP="00B70348">
            <w:pPr>
              <w:pStyle w:val="ListParagraph"/>
              <w:numPr>
                <w:ilvl w:val="0"/>
                <w:numId w:val="7"/>
              </w:numPr>
              <w:rPr>
                <w:sz w:val="24"/>
                <w:szCs w:val="24"/>
              </w:rPr>
            </w:pPr>
            <w:r>
              <w:rPr>
                <w:sz w:val="24"/>
                <w:szCs w:val="24"/>
              </w:rPr>
              <w:t>Explicitly explaining what the text says</w:t>
            </w:r>
          </w:p>
          <w:p w:rsidR="00E27B6D" w:rsidRPr="00323495" w:rsidRDefault="00B70348" w:rsidP="00B70348">
            <w:pPr>
              <w:pStyle w:val="ListParagraph"/>
              <w:numPr>
                <w:ilvl w:val="0"/>
                <w:numId w:val="7"/>
              </w:numPr>
              <w:rPr>
                <w:sz w:val="24"/>
                <w:szCs w:val="24"/>
              </w:rPr>
            </w:pPr>
            <w:r>
              <w:rPr>
                <w:sz w:val="24"/>
                <w:szCs w:val="24"/>
              </w:rPr>
              <w:t>Drawing inferences from the text</w:t>
            </w:r>
          </w:p>
        </w:tc>
      </w:tr>
      <w:tr w:rsidR="00392084" w:rsidTr="008A27C1">
        <w:trPr>
          <w:trHeight w:val="926"/>
        </w:trPr>
        <w:tc>
          <w:tcPr>
            <w:tcW w:w="10098" w:type="dxa"/>
            <w:gridSpan w:val="3"/>
            <w:shd w:val="clear" w:color="auto" w:fill="D9D9D9" w:themeFill="background1" w:themeFillShade="D9"/>
          </w:tcPr>
          <w:p w:rsidR="00392084" w:rsidRDefault="00392084" w:rsidP="00E27B6D">
            <w:pPr>
              <w:rPr>
                <w:b/>
                <w:i/>
                <w:sz w:val="24"/>
                <w:szCs w:val="24"/>
              </w:rPr>
            </w:pPr>
            <w:r w:rsidRPr="00954B0B">
              <w:rPr>
                <w:b/>
                <w:i/>
                <w:sz w:val="24"/>
                <w:szCs w:val="24"/>
              </w:rPr>
              <w:t xml:space="preserve">CCSS—Grade Specific Reading </w:t>
            </w:r>
            <w:r w:rsidR="00D32293">
              <w:rPr>
                <w:b/>
                <w:i/>
                <w:sz w:val="24"/>
                <w:szCs w:val="24"/>
              </w:rPr>
              <w:t>Literature</w:t>
            </w:r>
            <w:r w:rsidRPr="00954B0B">
              <w:rPr>
                <w:b/>
                <w:i/>
                <w:sz w:val="24"/>
                <w:szCs w:val="24"/>
              </w:rPr>
              <w:t xml:space="preserve"> Standard 10</w:t>
            </w:r>
            <w:r w:rsidR="00D32293">
              <w:rPr>
                <w:b/>
                <w:i/>
                <w:sz w:val="24"/>
                <w:szCs w:val="24"/>
              </w:rPr>
              <w:t xml:space="preserve"> (Grade 5</w:t>
            </w:r>
            <w:r w:rsidRPr="00954B0B">
              <w:rPr>
                <w:b/>
                <w:i/>
                <w:sz w:val="24"/>
                <w:szCs w:val="24"/>
              </w:rPr>
              <w:t>)</w:t>
            </w:r>
          </w:p>
          <w:p w:rsidR="00A2480B" w:rsidRPr="00551E5B" w:rsidRDefault="002822BE" w:rsidP="00E27B6D">
            <w:pPr>
              <w:rPr>
                <w:i/>
                <w:sz w:val="24"/>
                <w:szCs w:val="24"/>
              </w:rPr>
            </w:pP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tc>
      </w:tr>
    </w:tbl>
    <w:p w:rsidR="008A27C1" w:rsidRDefault="008A27C1">
      <w:bookmarkStart w:id="0" w:name="_GoBack"/>
      <w:bookmarkEnd w:id="0"/>
    </w:p>
    <w:tbl>
      <w:tblPr>
        <w:tblStyle w:val="TableGrid"/>
        <w:tblpPr w:leftFromText="180" w:rightFromText="180" w:vertAnchor="page" w:horzAnchor="margin" w:tblpY="12250"/>
        <w:tblW w:w="10098" w:type="dxa"/>
        <w:tblLayout w:type="fixed"/>
        <w:tblLook w:val="04A0" w:firstRow="1" w:lastRow="0" w:firstColumn="1" w:lastColumn="0" w:noHBand="0" w:noVBand="1"/>
      </w:tblPr>
      <w:tblGrid>
        <w:gridCol w:w="2448"/>
        <w:gridCol w:w="2520"/>
        <w:gridCol w:w="2340"/>
        <w:gridCol w:w="2790"/>
      </w:tblGrid>
      <w:tr w:rsidR="008A27C1" w:rsidTr="0073006D">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A27C1" w:rsidRDefault="008A27C1" w:rsidP="0073006D">
            <w:pPr>
              <w:jc w:val="center"/>
              <w:rPr>
                <w:i/>
              </w:rPr>
            </w:pPr>
            <w:r>
              <w:t xml:space="preserve">Fifth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8A27C1" w:rsidTr="0073006D">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Fall Benchmark STAR</w:t>
            </w:r>
          </w:p>
          <w:p w:rsidR="008A27C1" w:rsidRDefault="008A27C1" w:rsidP="0073006D">
            <w:pPr>
              <w:jc w:val="center"/>
              <w:rPr>
                <w:b/>
                <w:sz w:val="20"/>
                <w:szCs w:val="20"/>
              </w:rPr>
            </w:pPr>
            <w:r>
              <w:rPr>
                <w:b/>
                <w:sz w:val="20"/>
                <w:szCs w:val="20"/>
              </w:rPr>
              <w:t>Scaled Score: 5</w:t>
            </w:r>
            <w:r w:rsidR="0073006D">
              <w:rPr>
                <w:b/>
                <w:sz w:val="20"/>
                <w:szCs w:val="20"/>
              </w:rPr>
              <w:t>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January Benchmark STAR</w:t>
            </w:r>
          </w:p>
          <w:p w:rsidR="008A27C1" w:rsidRDefault="008A27C1" w:rsidP="0073006D">
            <w:pPr>
              <w:jc w:val="center"/>
              <w:rPr>
                <w:b/>
                <w:sz w:val="20"/>
                <w:szCs w:val="20"/>
              </w:rPr>
            </w:pPr>
            <w:r>
              <w:rPr>
                <w:b/>
                <w:sz w:val="20"/>
                <w:szCs w:val="20"/>
              </w:rPr>
              <w:t>Scaled Score: 5</w:t>
            </w:r>
            <w:r w:rsidR="0073006D">
              <w:rPr>
                <w:b/>
                <w:sz w:val="20"/>
                <w:szCs w:val="20"/>
              </w:rPr>
              <w:t>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March Benchmark STAR</w:t>
            </w:r>
          </w:p>
          <w:p w:rsidR="008A27C1" w:rsidRDefault="008A27C1" w:rsidP="0073006D">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June Benchmark STAR</w:t>
            </w:r>
          </w:p>
          <w:p w:rsidR="008A27C1" w:rsidRDefault="008A27C1" w:rsidP="0073006D">
            <w:pPr>
              <w:jc w:val="center"/>
              <w:rPr>
                <w:b/>
                <w:sz w:val="20"/>
                <w:szCs w:val="20"/>
              </w:rPr>
            </w:pPr>
            <w:r>
              <w:rPr>
                <w:b/>
                <w:sz w:val="20"/>
                <w:szCs w:val="20"/>
              </w:rPr>
              <w:t>Scaled Score: 6</w:t>
            </w:r>
            <w:r w:rsidR="0073006D">
              <w:rPr>
                <w:b/>
                <w:sz w:val="20"/>
                <w:szCs w:val="20"/>
              </w:rPr>
              <w:t>30</w:t>
            </w:r>
          </w:p>
        </w:tc>
      </w:tr>
      <w:tr w:rsidR="008A27C1" w:rsidTr="0073006D">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Fall Benchmark</w:t>
            </w:r>
          </w:p>
          <w:p w:rsidR="008A27C1" w:rsidRDefault="008A27C1" w:rsidP="0073006D">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January Benchmark</w:t>
            </w:r>
          </w:p>
          <w:p w:rsidR="008A27C1" w:rsidRDefault="008A27C1" w:rsidP="0073006D">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March  Benchmark</w:t>
            </w:r>
          </w:p>
          <w:p w:rsidR="008A27C1" w:rsidRDefault="008A27C1" w:rsidP="0073006D">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8A27C1" w:rsidRDefault="008A27C1" w:rsidP="0073006D">
            <w:pPr>
              <w:jc w:val="center"/>
              <w:rPr>
                <w:b/>
                <w:sz w:val="20"/>
                <w:szCs w:val="20"/>
              </w:rPr>
            </w:pPr>
            <w:r>
              <w:rPr>
                <w:b/>
                <w:sz w:val="20"/>
                <w:szCs w:val="20"/>
              </w:rPr>
              <w:t>June Benchmark</w:t>
            </w:r>
          </w:p>
          <w:p w:rsidR="008A27C1" w:rsidRDefault="008A27C1" w:rsidP="0073006D">
            <w:pPr>
              <w:jc w:val="center"/>
              <w:rPr>
                <w:b/>
                <w:sz w:val="20"/>
                <w:szCs w:val="20"/>
              </w:rPr>
            </w:pPr>
            <w:r>
              <w:rPr>
                <w:b/>
                <w:sz w:val="20"/>
                <w:szCs w:val="20"/>
              </w:rPr>
              <w:t>F &amp; P Level V</w:t>
            </w:r>
          </w:p>
        </w:tc>
      </w:tr>
    </w:tbl>
    <w:p w:rsidR="0075571F" w:rsidRDefault="0075571F"/>
    <w:sectPr w:rsidR="0075571F" w:rsidSect="008A27C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67" w:rsidRDefault="00D94F67" w:rsidP="0025773A">
      <w:pPr>
        <w:spacing w:after="0" w:line="240" w:lineRule="auto"/>
      </w:pPr>
      <w:r>
        <w:separator/>
      </w:r>
    </w:p>
  </w:endnote>
  <w:endnote w:type="continuationSeparator" w:id="0">
    <w:p w:rsidR="00D94F67" w:rsidRDefault="00D94F67"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67" w:rsidRDefault="00D94F67" w:rsidP="0025773A">
      <w:pPr>
        <w:spacing w:after="0" w:line="240" w:lineRule="auto"/>
      </w:pPr>
      <w:r>
        <w:separator/>
      </w:r>
    </w:p>
  </w:footnote>
  <w:footnote w:type="continuationSeparator" w:id="0">
    <w:p w:rsidR="00D94F67" w:rsidRDefault="00D94F67"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44BD5"/>
    <w:rsid w:val="00070698"/>
    <w:rsid w:val="000A26A2"/>
    <w:rsid w:val="000C33C8"/>
    <w:rsid w:val="001061C5"/>
    <w:rsid w:val="001428A0"/>
    <w:rsid w:val="00154505"/>
    <w:rsid w:val="001B15E2"/>
    <w:rsid w:val="00225611"/>
    <w:rsid w:val="00255C22"/>
    <w:rsid w:val="0025773A"/>
    <w:rsid w:val="002822BE"/>
    <w:rsid w:val="002D20BA"/>
    <w:rsid w:val="00323495"/>
    <w:rsid w:val="00324969"/>
    <w:rsid w:val="003465AE"/>
    <w:rsid w:val="003718F0"/>
    <w:rsid w:val="00383E1A"/>
    <w:rsid w:val="003865D5"/>
    <w:rsid w:val="00392084"/>
    <w:rsid w:val="003C08A6"/>
    <w:rsid w:val="003C52DB"/>
    <w:rsid w:val="003F613A"/>
    <w:rsid w:val="00422D90"/>
    <w:rsid w:val="004E63AB"/>
    <w:rsid w:val="00535171"/>
    <w:rsid w:val="005351F0"/>
    <w:rsid w:val="00551E5B"/>
    <w:rsid w:val="0058169E"/>
    <w:rsid w:val="005E62D4"/>
    <w:rsid w:val="00630CF8"/>
    <w:rsid w:val="00653F74"/>
    <w:rsid w:val="00697C7C"/>
    <w:rsid w:val="006A1BB7"/>
    <w:rsid w:val="006A690A"/>
    <w:rsid w:val="006C4947"/>
    <w:rsid w:val="006D4128"/>
    <w:rsid w:val="00713990"/>
    <w:rsid w:val="0073006D"/>
    <w:rsid w:val="0075571F"/>
    <w:rsid w:val="00790DB4"/>
    <w:rsid w:val="007934F0"/>
    <w:rsid w:val="007B20DA"/>
    <w:rsid w:val="00804775"/>
    <w:rsid w:val="00844044"/>
    <w:rsid w:val="00845FDE"/>
    <w:rsid w:val="00867ED0"/>
    <w:rsid w:val="008A27C1"/>
    <w:rsid w:val="008E53E9"/>
    <w:rsid w:val="008F2CF3"/>
    <w:rsid w:val="0091416C"/>
    <w:rsid w:val="00954B0B"/>
    <w:rsid w:val="009773A4"/>
    <w:rsid w:val="009B1828"/>
    <w:rsid w:val="009C5077"/>
    <w:rsid w:val="009E4A88"/>
    <w:rsid w:val="00A2480B"/>
    <w:rsid w:val="00A32862"/>
    <w:rsid w:val="00A63565"/>
    <w:rsid w:val="00A87EB7"/>
    <w:rsid w:val="00A90774"/>
    <w:rsid w:val="00AB52D2"/>
    <w:rsid w:val="00AC3D5E"/>
    <w:rsid w:val="00B475B5"/>
    <w:rsid w:val="00B70348"/>
    <w:rsid w:val="00B9010B"/>
    <w:rsid w:val="00B95B24"/>
    <w:rsid w:val="00BC7573"/>
    <w:rsid w:val="00BD13A3"/>
    <w:rsid w:val="00C10A34"/>
    <w:rsid w:val="00C254DA"/>
    <w:rsid w:val="00C3558B"/>
    <w:rsid w:val="00C45E62"/>
    <w:rsid w:val="00C95BD9"/>
    <w:rsid w:val="00C97675"/>
    <w:rsid w:val="00CA46E2"/>
    <w:rsid w:val="00CD621D"/>
    <w:rsid w:val="00CE53A1"/>
    <w:rsid w:val="00D32293"/>
    <w:rsid w:val="00D54CDD"/>
    <w:rsid w:val="00D8709C"/>
    <w:rsid w:val="00D94F67"/>
    <w:rsid w:val="00DA628D"/>
    <w:rsid w:val="00DC24CD"/>
    <w:rsid w:val="00DD15B0"/>
    <w:rsid w:val="00E27B6D"/>
    <w:rsid w:val="00E84E5B"/>
    <w:rsid w:val="00ED2DAE"/>
    <w:rsid w:val="00ED3B88"/>
    <w:rsid w:val="00F03F8F"/>
    <w:rsid w:val="00F604CB"/>
    <w:rsid w:val="00FB54A8"/>
    <w:rsid w:val="00FC5449"/>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7A873-9A60-44CF-99CC-9B14FB3F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2015-05-01T18:57:00Z</dcterms:created>
  <dcterms:modified xsi:type="dcterms:W3CDTF">2015-05-01T18:57:00Z</dcterms:modified>
</cp:coreProperties>
</file>