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0" w:rsidRDefault="004B3CD0" w:rsidP="004B3CD0">
      <w:pPr>
        <w:autoSpaceDE w:val="0"/>
        <w:autoSpaceDN w:val="0"/>
        <w:adjustRightInd w:val="0"/>
        <w:spacing w:after="0" w:line="240" w:lineRule="auto"/>
        <w:jc w:val="center"/>
        <w:rPr>
          <w:rFonts w:cs="Avenir-Black"/>
          <w:b/>
          <w:color w:val="338CD3"/>
          <w:sz w:val="52"/>
          <w:szCs w:val="52"/>
        </w:rPr>
      </w:pPr>
      <w:r w:rsidRPr="004B3CD0">
        <w:rPr>
          <w:rFonts w:cs="Avenir-Black"/>
          <w:b/>
          <w:color w:val="338CD3"/>
          <w:sz w:val="52"/>
          <w:szCs w:val="52"/>
        </w:rPr>
        <w:t xml:space="preserve">Common Core and </w:t>
      </w:r>
      <w:proofErr w:type="gramStart"/>
      <w:r w:rsidRPr="004B3CD0">
        <w:rPr>
          <w:rFonts w:cs="Avenir-Black"/>
          <w:b/>
          <w:color w:val="338CD3"/>
          <w:sz w:val="52"/>
          <w:szCs w:val="52"/>
        </w:rPr>
        <w:t>The</w:t>
      </w:r>
      <w:proofErr w:type="gramEnd"/>
      <w:r w:rsidRPr="004B3CD0">
        <w:rPr>
          <w:rFonts w:cs="Avenir-Black"/>
          <w:b/>
          <w:color w:val="338CD3"/>
          <w:sz w:val="52"/>
          <w:szCs w:val="52"/>
        </w:rPr>
        <w:t xml:space="preserve"> Blueprint</w:t>
      </w:r>
    </w:p>
    <w:p w:rsidR="004B3CD0" w:rsidRPr="004B3CD0" w:rsidRDefault="004B3CD0" w:rsidP="004B3CD0">
      <w:pPr>
        <w:autoSpaceDE w:val="0"/>
        <w:autoSpaceDN w:val="0"/>
        <w:adjustRightInd w:val="0"/>
        <w:spacing w:after="0" w:line="240" w:lineRule="auto"/>
        <w:jc w:val="center"/>
        <w:rPr>
          <w:rFonts w:cs="Avenir-Black"/>
          <w:b/>
          <w:color w:val="338CD3"/>
          <w:sz w:val="24"/>
          <w:szCs w:val="24"/>
        </w:rPr>
      </w:pPr>
    </w:p>
    <w:p w:rsidR="00965610" w:rsidRPr="004B3CD0" w:rsidRDefault="004B3CD0" w:rsidP="004B3CD0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0000"/>
          <w:sz w:val="24"/>
        </w:rPr>
      </w:pPr>
      <w:r w:rsidRPr="004B3CD0">
        <w:rPr>
          <w:rFonts w:cs="AvenirNext-Regular"/>
          <w:color w:val="000000"/>
          <w:sz w:val="24"/>
        </w:rPr>
        <w:t>The GCR2</w:t>
      </w:r>
      <w:r w:rsidRPr="004B3CD0">
        <w:rPr>
          <w:rFonts w:cs="AvenirNext-Regular"/>
          <w:color w:val="000000"/>
          <w:sz w:val="24"/>
        </w:rPr>
        <w:t xml:space="preserve"> Literacy Blueprint provides a structure to design p</w:t>
      </w:r>
      <w:r w:rsidRPr="004B3CD0">
        <w:rPr>
          <w:rFonts w:cs="AvenirNext-Regular"/>
          <w:color w:val="000000"/>
          <w:sz w:val="24"/>
        </w:rPr>
        <w:t xml:space="preserve">athways to meet the Common Core </w:t>
      </w:r>
      <w:r w:rsidRPr="004B3CD0">
        <w:rPr>
          <w:rFonts w:cs="AvenirNext-Regular"/>
          <w:color w:val="000000"/>
          <w:sz w:val="24"/>
        </w:rPr>
        <w:t>English Language Arts Standards. The following chart is an adaptation fr</w:t>
      </w:r>
      <w:r w:rsidRPr="004B3CD0">
        <w:rPr>
          <w:rFonts w:cs="AvenirNext-Regular"/>
          <w:color w:val="000000"/>
          <w:sz w:val="24"/>
        </w:rPr>
        <w:t xml:space="preserve">om the Tri-State Rubric created </w:t>
      </w:r>
      <w:r w:rsidRPr="004B3CD0">
        <w:rPr>
          <w:rFonts w:cs="AvenirNext-Regular"/>
          <w:color w:val="000000"/>
          <w:sz w:val="24"/>
        </w:rPr>
        <w:t xml:space="preserve">to evaluate CCSS lessons and units. The chart captures the intent </w:t>
      </w:r>
      <w:r w:rsidRPr="004B3CD0">
        <w:rPr>
          <w:rFonts w:cs="AvenirNext-Regular"/>
          <w:color w:val="000000"/>
          <w:sz w:val="24"/>
        </w:rPr>
        <w:t xml:space="preserve">and expectation inherent in the </w:t>
      </w:r>
      <w:r w:rsidRPr="004B3CD0">
        <w:rPr>
          <w:rFonts w:cs="AvenirNext-Regular"/>
          <w:color w:val="000000"/>
          <w:sz w:val="24"/>
        </w:rPr>
        <w:t>implementation of the Common Core but not necessarily explicitly st</w:t>
      </w:r>
      <w:r w:rsidRPr="004B3CD0">
        <w:rPr>
          <w:rFonts w:cs="AvenirNext-Regular"/>
          <w:color w:val="000000"/>
          <w:sz w:val="24"/>
        </w:rPr>
        <w:t>ated in the standards. Consider using this chart for self-</w:t>
      </w:r>
      <w:r w:rsidRPr="004B3CD0">
        <w:rPr>
          <w:rFonts w:cs="AvenirNext-Regular"/>
          <w:color w:val="000000"/>
          <w:sz w:val="24"/>
        </w:rPr>
        <w:t>assessment, lesson/unit evaluation, and professional growth.</w:t>
      </w:r>
    </w:p>
    <w:p w:rsidR="004B3CD0" w:rsidRDefault="004B3CD0" w:rsidP="004B3CD0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0000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3CD0" w:rsidTr="004B3CD0">
        <w:trPr>
          <w:jc w:val="center"/>
        </w:trPr>
        <w:tc>
          <w:tcPr>
            <w:tcW w:w="4788" w:type="dxa"/>
            <w:tcBorders>
              <w:bottom w:val="single" w:sz="6" w:space="0" w:color="000000" w:themeColor="text1"/>
            </w:tcBorders>
            <w:shd w:val="clear" w:color="auto" w:fill="000000" w:themeFill="text1"/>
          </w:tcPr>
          <w:p w:rsidR="004B3CD0" w:rsidRDefault="004B3CD0" w:rsidP="004B3CD0">
            <w:pPr>
              <w:autoSpaceDE w:val="0"/>
              <w:autoSpaceDN w:val="0"/>
              <w:adjustRightInd w:val="0"/>
              <w:rPr>
                <w:rFonts w:cs="AvenirNext-Regular"/>
                <w:color w:val="000000"/>
              </w:rPr>
            </w:pPr>
            <w:r>
              <w:rPr>
                <w:rFonts w:ascii="AvenirNextCondensed-Bold" w:hAnsi="AvenirNextCondensed-Bold" w:cs="AvenirNextCondensed-Bold"/>
                <w:b/>
                <w:bCs/>
                <w:color w:val="FFFFFF"/>
              </w:rPr>
              <w:t>I. Alignment to the Depth of the CCSS</w:t>
            </w:r>
          </w:p>
        </w:tc>
        <w:tc>
          <w:tcPr>
            <w:tcW w:w="4788" w:type="dxa"/>
            <w:tcBorders>
              <w:bottom w:val="single" w:sz="6" w:space="0" w:color="000000" w:themeColor="text1"/>
            </w:tcBorders>
            <w:shd w:val="clear" w:color="auto" w:fill="000000" w:themeFill="text1"/>
          </w:tcPr>
          <w:p w:rsidR="004B3CD0" w:rsidRDefault="004B3CD0" w:rsidP="004B3CD0">
            <w:pPr>
              <w:autoSpaceDE w:val="0"/>
              <w:autoSpaceDN w:val="0"/>
              <w:adjustRightInd w:val="0"/>
              <w:rPr>
                <w:rFonts w:cs="AvenirNext-Regular"/>
                <w:color w:val="000000"/>
              </w:rPr>
            </w:pPr>
            <w:r>
              <w:rPr>
                <w:rFonts w:ascii="AvenirNextCondensed-Bold" w:hAnsi="AvenirNextCondensed-Bold" w:cs="AvenirNextCondensed-Bold"/>
                <w:b/>
                <w:bCs/>
                <w:color w:val="FFFFFF"/>
              </w:rPr>
              <w:t>II. Key Shifts in the CCSS</w:t>
            </w:r>
          </w:p>
        </w:tc>
      </w:tr>
      <w:tr w:rsidR="004B3CD0" w:rsidTr="004B3CD0">
        <w:trPr>
          <w:jc w:val="center"/>
        </w:trPr>
        <w:tc>
          <w:tcPr>
            <w:tcW w:w="478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95B3D7" w:themeFill="accent1" w:themeFillTint="99"/>
          </w:tcPr>
          <w:p w:rsidR="004B3CD0" w:rsidRPr="004B3CD0" w:rsidRDefault="004B3CD0" w:rsidP="004B3CD0">
            <w:pPr>
              <w:autoSpaceDE w:val="0"/>
              <w:autoSpaceDN w:val="0"/>
              <w:adjustRightInd w:val="0"/>
              <w:rPr>
                <w:rFonts w:cs="AvenirNext-Bold"/>
                <w:b/>
                <w:bCs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>Instruction (lessons or units):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Bold"/>
                <w:b/>
                <w:bCs/>
                <w:sz w:val="24"/>
              </w:rPr>
            </w:pPr>
            <w:r>
              <w:rPr>
                <w:rFonts w:cs="AvenirNext-Regular"/>
                <w:sz w:val="24"/>
              </w:rPr>
              <w:t>Embe</w:t>
            </w:r>
            <w:bookmarkStart w:id="0" w:name="_GoBack"/>
            <w:bookmarkEnd w:id="0"/>
            <w:r>
              <w:rPr>
                <w:rFonts w:cs="AvenirNext-Regular"/>
                <w:sz w:val="24"/>
              </w:rPr>
              <w:t>ds specifi</w:t>
            </w:r>
            <w:r w:rsidRPr="004B3CD0">
              <w:rPr>
                <w:rFonts w:cs="AvenirNext-Regular"/>
                <w:sz w:val="24"/>
              </w:rPr>
              <w:t xml:space="preserve">c </w:t>
            </w:r>
            <w:r w:rsidRPr="004B3CD0">
              <w:rPr>
                <w:rFonts w:cs="AvenirNext-Bold"/>
                <w:b/>
                <w:bCs/>
                <w:sz w:val="24"/>
              </w:rPr>
              <w:t>ELA CC standard(s).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Regular"/>
                <w:sz w:val="24"/>
              </w:rPr>
              <w:t xml:space="preserve">Includes a </w:t>
            </w:r>
            <w:r w:rsidRPr="004B3CD0">
              <w:rPr>
                <w:rFonts w:cs="AvenirNext-Bold"/>
                <w:b/>
                <w:bCs/>
                <w:sz w:val="24"/>
              </w:rPr>
              <w:t xml:space="preserve">clear and explicit purpose </w:t>
            </w:r>
            <w:r w:rsidRPr="004B3CD0">
              <w:rPr>
                <w:rFonts w:cs="AvenirNext-Regular"/>
                <w:sz w:val="24"/>
              </w:rPr>
              <w:t>for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instruction.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Regular"/>
                <w:sz w:val="24"/>
              </w:rPr>
              <w:t xml:space="preserve">Utilizes </w:t>
            </w:r>
            <w:r w:rsidRPr="004B3CD0">
              <w:rPr>
                <w:rFonts w:cs="AvenirNext-Bold"/>
                <w:b/>
                <w:bCs/>
                <w:sz w:val="24"/>
              </w:rPr>
              <w:t xml:space="preserve">quality text(s) </w:t>
            </w:r>
            <w:r w:rsidRPr="004B3CD0">
              <w:rPr>
                <w:rFonts w:cs="AvenirNext-Regular"/>
                <w:sz w:val="24"/>
              </w:rPr>
              <w:t>that align with the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requirements outlined in the standards,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present characteristics similar to CCSS K-5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exemplars</w:t>
            </w:r>
            <w:r>
              <w:rPr>
                <w:rFonts w:cs="AvenirNext-Regular"/>
                <w:sz w:val="24"/>
              </w:rPr>
              <w:t xml:space="preserve"> (Appendix B), and are of suffi</w:t>
            </w:r>
            <w:r w:rsidRPr="004B3CD0">
              <w:rPr>
                <w:rFonts w:cs="AvenirNext-Regular"/>
                <w:sz w:val="24"/>
              </w:rPr>
              <w:t>cient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scope for the stated purpose.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Regular"/>
                <w:sz w:val="24"/>
              </w:rPr>
              <w:t>Provides opportunities for students to</w:t>
            </w:r>
          </w:p>
          <w:p w:rsidR="004B3CD0" w:rsidRPr="004B3CD0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proofErr w:type="gramStart"/>
            <w:r>
              <w:rPr>
                <w:rFonts w:cs="AvenirNext-Bold"/>
                <w:b/>
                <w:bCs/>
                <w:sz w:val="24"/>
              </w:rPr>
              <w:t>present</w:t>
            </w:r>
            <w:proofErr w:type="gramEnd"/>
            <w:r>
              <w:rPr>
                <w:rFonts w:cs="AvenirNext-Bold"/>
                <w:b/>
                <w:bCs/>
                <w:sz w:val="24"/>
              </w:rPr>
              <w:t xml:space="preserve"> ideas and information </w:t>
            </w:r>
            <w:r w:rsidRPr="004B3CD0">
              <w:rPr>
                <w:rFonts w:cs="AvenirNext-Regular"/>
                <w:sz w:val="24"/>
              </w:rPr>
              <w:t>through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writing, drawing and speaking experiences.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Regular"/>
                <w:sz w:val="24"/>
              </w:rPr>
              <w:t>Emphasizes the explicit, systematic</w:t>
            </w:r>
          </w:p>
          <w:p w:rsidR="004B3CD0" w:rsidRPr="004B3CD0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Bold"/>
                <w:b/>
                <w:bCs/>
                <w:sz w:val="24"/>
              </w:rPr>
            </w:pPr>
            <w:proofErr w:type="gramStart"/>
            <w:r w:rsidRPr="004B3CD0">
              <w:rPr>
                <w:rFonts w:cs="AvenirNext-Regular"/>
                <w:sz w:val="24"/>
              </w:rPr>
              <w:t>development</w:t>
            </w:r>
            <w:proofErr w:type="gramEnd"/>
            <w:r w:rsidRPr="004B3CD0">
              <w:rPr>
                <w:rFonts w:cs="AvenirNext-Regular"/>
                <w:sz w:val="24"/>
              </w:rPr>
              <w:t xml:space="preserve"> of </w:t>
            </w:r>
            <w:r w:rsidRPr="004B3CD0">
              <w:rPr>
                <w:rFonts w:cs="AvenirNext-Bold"/>
                <w:b/>
                <w:bCs/>
                <w:sz w:val="24"/>
              </w:rPr>
              <w:t>foundational literacy skills</w:t>
            </w:r>
            <w:r>
              <w:rPr>
                <w:rFonts w:cs="AvenirNext-Bold"/>
                <w:b/>
                <w:bCs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especially at primary.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 xml:space="preserve">Integrates ELA areas: </w:t>
            </w:r>
            <w:r w:rsidRPr="004B3CD0">
              <w:rPr>
                <w:rFonts w:cs="AvenirNext-Regular"/>
                <w:sz w:val="24"/>
              </w:rPr>
              <w:t>reading, writing,</w:t>
            </w:r>
          </w:p>
          <w:p w:rsidR="004B3CD0" w:rsidRPr="004B3CD0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proofErr w:type="gramStart"/>
            <w:r w:rsidRPr="004B3CD0">
              <w:rPr>
                <w:rFonts w:cs="AvenirNext-Regular"/>
                <w:sz w:val="24"/>
              </w:rPr>
              <w:t>language</w:t>
            </w:r>
            <w:proofErr w:type="gramEnd"/>
            <w:r w:rsidRPr="004B3CD0">
              <w:rPr>
                <w:rFonts w:cs="AvenirNext-Regular"/>
                <w:sz w:val="24"/>
              </w:rPr>
              <w:t>, speaking and listening so that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students apply and synthesize advancing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literacy skills.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 xml:space="preserve">Integrates Content: </w:t>
            </w:r>
            <w:r w:rsidRPr="004B3CD0">
              <w:rPr>
                <w:rFonts w:cs="AvenirNext-Regular"/>
                <w:sz w:val="24"/>
              </w:rPr>
              <w:t>Builds students’ content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knowledge in social studies, the arts, science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or technical subjects through a coherent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sequence of texts and series of questions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that build knowledge within a topic.</w:t>
            </w:r>
          </w:p>
        </w:tc>
        <w:tc>
          <w:tcPr>
            <w:tcW w:w="478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CC"/>
          </w:tcPr>
          <w:p w:rsidR="004B3CD0" w:rsidRPr="004B3CD0" w:rsidRDefault="004B3CD0" w:rsidP="004B3CD0">
            <w:pPr>
              <w:autoSpaceDE w:val="0"/>
              <w:autoSpaceDN w:val="0"/>
              <w:adjustRightInd w:val="0"/>
              <w:rPr>
                <w:rFonts w:cs="AvenirNext-Bold"/>
                <w:b/>
                <w:bCs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>Instruction (lessons or units):</w:t>
            </w:r>
          </w:p>
          <w:p w:rsid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 xml:space="preserve">Reading Text Closely: </w:t>
            </w:r>
            <w:r w:rsidRPr="004B3CD0">
              <w:rPr>
                <w:rFonts w:cs="AvenirNext-Regular"/>
                <w:sz w:val="24"/>
              </w:rPr>
              <w:t>a central element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of instruction with regular opportunities for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students to ask and answer text-dependent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questions.</w:t>
            </w:r>
          </w:p>
          <w:p w:rsid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 xml:space="preserve">Text-Based Evidence: </w:t>
            </w:r>
            <w:r w:rsidRPr="004B3CD0">
              <w:rPr>
                <w:rFonts w:cs="AvenirNext-Regular"/>
                <w:sz w:val="24"/>
              </w:rPr>
              <w:t>includes rich text</w:t>
            </w:r>
            <w:r>
              <w:rPr>
                <w:rFonts w:cs="AvenirNext-Regular"/>
                <w:sz w:val="24"/>
              </w:rPr>
              <w:t>-</w:t>
            </w:r>
            <w:r w:rsidRPr="004B3CD0">
              <w:rPr>
                <w:rFonts w:cs="AvenirNext-Regular"/>
                <w:sz w:val="24"/>
              </w:rPr>
              <w:t>based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discussions and writing through</w:t>
            </w:r>
            <w:r>
              <w:rPr>
                <w:rFonts w:cs="AvenirNext-Regular"/>
                <w:sz w:val="24"/>
              </w:rPr>
              <w:t xml:space="preserve"> specifi</w:t>
            </w:r>
            <w:r w:rsidRPr="004B3CD0">
              <w:rPr>
                <w:rFonts w:cs="AvenirNext-Regular"/>
                <w:sz w:val="24"/>
              </w:rPr>
              <w:t>c, thought-provoking questions about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 xml:space="preserve">common texts (including read </w:t>
            </w:r>
            <w:proofErr w:type="spellStart"/>
            <w:r w:rsidRPr="004B3CD0">
              <w:rPr>
                <w:rFonts w:cs="AvenirNext-Regular"/>
                <w:sz w:val="24"/>
              </w:rPr>
              <w:t>alouds</w:t>
            </w:r>
            <w:proofErr w:type="spellEnd"/>
            <w:r w:rsidRPr="004B3CD0">
              <w:rPr>
                <w:rFonts w:cs="AvenirNext-Regular"/>
                <w:sz w:val="24"/>
              </w:rPr>
              <w:t xml:space="preserve"> and,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when applicable, illustrations, audio/video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and other media).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 xml:space="preserve">Building Academic Language: </w:t>
            </w:r>
            <w:r w:rsidRPr="004B3CD0">
              <w:rPr>
                <w:rFonts w:cs="AvenirNext-Regular"/>
                <w:sz w:val="24"/>
              </w:rPr>
              <w:t>Focus on</w:t>
            </w:r>
          </w:p>
          <w:p w:rsidR="004B3CD0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proofErr w:type="gramStart"/>
            <w:r w:rsidRPr="004B3CD0">
              <w:rPr>
                <w:rFonts w:cs="AvenirNext-Regular"/>
                <w:sz w:val="24"/>
              </w:rPr>
              <w:t>explicitly</w:t>
            </w:r>
            <w:proofErr w:type="gramEnd"/>
            <w:r w:rsidRPr="004B3CD0">
              <w:rPr>
                <w:rFonts w:cs="AvenirNext-Regular"/>
                <w:sz w:val="24"/>
              </w:rPr>
              <w:t xml:space="preserve"> building students’ foundational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vocabulary and concepts of syntax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throughout instruction.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>Balance of Informational and Literary</w:t>
            </w:r>
          </w:p>
          <w:p w:rsidR="004B3CD0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Bold"/>
                <w:b/>
                <w:bCs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>Texts 50/50</w:t>
            </w:r>
          </w:p>
          <w:p w:rsidR="004B3CD0" w:rsidRPr="004B3CD0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Bold"/>
                <w:b/>
                <w:bCs/>
                <w:sz w:val="24"/>
              </w:rPr>
            </w:pPr>
            <w:r w:rsidRPr="004B3CD0">
              <w:rPr>
                <w:rFonts w:cs="AvenirNext-Bold"/>
                <w:b/>
                <w:bCs/>
                <w:sz w:val="24"/>
              </w:rPr>
              <w:t xml:space="preserve">Balance of Writing: </w:t>
            </w:r>
            <w:r w:rsidRPr="004B3CD0">
              <w:rPr>
                <w:rFonts w:cs="AvenirNext-Regular"/>
                <w:sz w:val="24"/>
              </w:rPr>
              <w:t>Includes a balance</w:t>
            </w:r>
          </w:p>
          <w:p w:rsidR="004B3CD0" w:rsidRPr="004B3CD0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  <w:sz w:val="24"/>
              </w:rPr>
            </w:pPr>
            <w:proofErr w:type="gramStart"/>
            <w:r w:rsidRPr="004B3CD0">
              <w:rPr>
                <w:rFonts w:cs="AvenirNext-Regular"/>
                <w:sz w:val="24"/>
              </w:rPr>
              <w:t>of</w:t>
            </w:r>
            <w:proofErr w:type="gramEnd"/>
            <w:r w:rsidRPr="004B3CD0">
              <w:rPr>
                <w:rFonts w:cs="AvenirNext-Regular"/>
                <w:sz w:val="24"/>
              </w:rPr>
              <w:t xml:space="preserve"> on- demand and process writing (e.g.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multiple drafts and revisions over time)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and short, focused research projects,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incorporating digital texts where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appropriate. In addition students have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opportunities to communicate thinking,</w:t>
            </w:r>
            <w:r>
              <w:rPr>
                <w:rFonts w:cs="AvenirNext-Regular"/>
                <w:sz w:val="24"/>
              </w:rPr>
              <w:t xml:space="preserve"> </w:t>
            </w:r>
            <w:r w:rsidRPr="004B3CD0">
              <w:rPr>
                <w:rFonts w:cs="AvenirNext-Regular"/>
                <w:sz w:val="24"/>
              </w:rPr>
              <w:t>answer questions and write for self</w:t>
            </w:r>
            <w:r>
              <w:rPr>
                <w:rFonts w:cs="AvenirNext-Regular"/>
                <w:sz w:val="24"/>
              </w:rPr>
              <w:t>-</w:t>
            </w:r>
            <w:r w:rsidRPr="004B3CD0">
              <w:rPr>
                <w:rFonts w:cs="AvenirNext-Regular"/>
                <w:sz w:val="24"/>
              </w:rPr>
              <w:t>expression</w:t>
            </w:r>
          </w:p>
          <w:p w:rsidR="004B3CD0" w:rsidRPr="004B3CD0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  <w:color w:val="000000"/>
                <w:sz w:val="24"/>
              </w:rPr>
            </w:pPr>
            <w:proofErr w:type="gramStart"/>
            <w:r w:rsidRPr="004B3CD0">
              <w:rPr>
                <w:rFonts w:cs="AvenirNext-Regular"/>
                <w:sz w:val="24"/>
              </w:rPr>
              <w:t>and</w:t>
            </w:r>
            <w:proofErr w:type="gramEnd"/>
            <w:r w:rsidRPr="004B3CD0">
              <w:rPr>
                <w:rFonts w:cs="AvenirNext-Regular"/>
                <w:sz w:val="24"/>
              </w:rPr>
              <w:t xml:space="preserve"> exploration.</w:t>
            </w:r>
          </w:p>
        </w:tc>
      </w:tr>
    </w:tbl>
    <w:p w:rsidR="004B3CD0" w:rsidRDefault="004B3CD0" w:rsidP="004B3CD0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0000"/>
        </w:rPr>
      </w:pPr>
    </w:p>
    <w:p w:rsidR="004B3CD0" w:rsidRDefault="004B3CD0" w:rsidP="004B3CD0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0000"/>
        </w:rPr>
      </w:pPr>
    </w:p>
    <w:p w:rsidR="004B3CD0" w:rsidRDefault="004B3CD0" w:rsidP="004B3CD0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0000"/>
        </w:rPr>
      </w:pPr>
    </w:p>
    <w:p w:rsidR="004B3CD0" w:rsidRDefault="004B3CD0" w:rsidP="004B3CD0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0000"/>
        </w:rPr>
      </w:pPr>
    </w:p>
    <w:p w:rsidR="004B3CD0" w:rsidRDefault="004B3CD0" w:rsidP="004B3CD0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0000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3CD0" w:rsidRPr="002119C8" w:rsidTr="0006100D">
        <w:trPr>
          <w:jc w:val="center"/>
        </w:trPr>
        <w:tc>
          <w:tcPr>
            <w:tcW w:w="4788" w:type="dxa"/>
            <w:tcBorders>
              <w:bottom w:val="single" w:sz="6" w:space="0" w:color="000000" w:themeColor="text1"/>
            </w:tcBorders>
            <w:shd w:val="clear" w:color="auto" w:fill="000000" w:themeFill="text1"/>
          </w:tcPr>
          <w:p w:rsidR="004B3CD0" w:rsidRPr="002119C8" w:rsidRDefault="004B3CD0" w:rsidP="0006100D">
            <w:pPr>
              <w:autoSpaceDE w:val="0"/>
              <w:autoSpaceDN w:val="0"/>
              <w:adjustRightInd w:val="0"/>
              <w:rPr>
                <w:rFonts w:cs="AvenirNext-Regular"/>
                <w:color w:val="000000"/>
                <w:szCs w:val="24"/>
              </w:rPr>
            </w:pPr>
            <w:r w:rsidRPr="002119C8">
              <w:rPr>
                <w:rFonts w:cs="AvenirNextCondensed-Bold"/>
                <w:b/>
                <w:bCs/>
                <w:color w:val="FFFFFF"/>
                <w:szCs w:val="24"/>
              </w:rPr>
              <w:lastRenderedPageBreak/>
              <w:t>III. Instructional Supports</w:t>
            </w:r>
          </w:p>
        </w:tc>
        <w:tc>
          <w:tcPr>
            <w:tcW w:w="4788" w:type="dxa"/>
            <w:tcBorders>
              <w:bottom w:val="single" w:sz="6" w:space="0" w:color="000000" w:themeColor="text1"/>
            </w:tcBorders>
            <w:shd w:val="clear" w:color="auto" w:fill="000000" w:themeFill="text1"/>
          </w:tcPr>
          <w:p w:rsidR="004B3CD0" w:rsidRPr="002119C8" w:rsidRDefault="004B3CD0" w:rsidP="0006100D">
            <w:pPr>
              <w:autoSpaceDE w:val="0"/>
              <w:autoSpaceDN w:val="0"/>
              <w:adjustRightInd w:val="0"/>
              <w:rPr>
                <w:rFonts w:cs="AvenirNext-Regular"/>
                <w:color w:val="000000"/>
                <w:szCs w:val="24"/>
              </w:rPr>
            </w:pPr>
            <w:r w:rsidRPr="002119C8">
              <w:rPr>
                <w:rFonts w:cs="AvenirNextCondensed-Bold"/>
                <w:b/>
                <w:bCs/>
                <w:color w:val="FFFFFF"/>
                <w:szCs w:val="24"/>
              </w:rPr>
              <w:t>IV. Assessment</w:t>
            </w:r>
          </w:p>
        </w:tc>
      </w:tr>
      <w:tr w:rsidR="004B3CD0" w:rsidRPr="002119C8" w:rsidTr="004B3CD0">
        <w:trPr>
          <w:trHeight w:val="1910"/>
          <w:jc w:val="center"/>
        </w:trPr>
        <w:tc>
          <w:tcPr>
            <w:tcW w:w="4788" w:type="dxa"/>
            <w:vMerge w:val="restart"/>
            <w:tcBorders>
              <w:top w:val="single" w:sz="6" w:space="0" w:color="000000" w:themeColor="text1"/>
            </w:tcBorders>
            <w:shd w:val="clear" w:color="auto" w:fill="95B3D7" w:themeFill="accent1" w:themeFillTint="99"/>
          </w:tcPr>
          <w:p w:rsidR="002119C8" w:rsidRPr="002119C8" w:rsidRDefault="002119C8" w:rsidP="002119C8">
            <w:pPr>
              <w:autoSpaceDE w:val="0"/>
              <w:autoSpaceDN w:val="0"/>
              <w:adjustRightInd w:val="0"/>
              <w:rPr>
                <w:rFonts w:cs="AvenirNext-Bold"/>
                <w:b/>
                <w:bCs/>
              </w:rPr>
            </w:pPr>
            <w:r w:rsidRPr="002119C8">
              <w:rPr>
                <w:rFonts w:cs="AvenirNext-Bold"/>
                <w:b/>
                <w:bCs/>
              </w:rPr>
              <w:t>Instruction (lessons or units):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Bold"/>
                <w:b/>
                <w:bCs/>
              </w:rPr>
            </w:pPr>
            <w:r w:rsidRPr="002119C8">
              <w:rPr>
                <w:rFonts w:cs="AvenirNext-Regular"/>
              </w:rPr>
              <w:t xml:space="preserve">Cultivates </w:t>
            </w:r>
            <w:r w:rsidRPr="002119C8">
              <w:rPr>
                <w:rFonts w:cs="AvenirNext-Bold"/>
                <w:b/>
                <w:bCs/>
              </w:rPr>
              <w:t>student interest and engagement</w:t>
            </w:r>
            <w:r w:rsidRPr="002119C8">
              <w:rPr>
                <w:rFonts w:cs="AvenirNext-Bold"/>
                <w:b/>
                <w:bCs/>
              </w:rPr>
              <w:t xml:space="preserve"> </w:t>
            </w:r>
            <w:r w:rsidRPr="002119C8">
              <w:rPr>
                <w:rFonts w:cs="AvenirNext-Regular"/>
              </w:rPr>
              <w:t>in reading, writing, and speaking about texts.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 xml:space="preserve">Integrates </w:t>
            </w:r>
            <w:r w:rsidRPr="002119C8">
              <w:rPr>
                <w:rFonts w:cs="AvenirNext-Bold"/>
                <w:b/>
                <w:bCs/>
              </w:rPr>
              <w:t xml:space="preserve">targeted instruction </w:t>
            </w:r>
            <w:r w:rsidRPr="002119C8">
              <w:rPr>
                <w:rFonts w:cs="AvenirNext-Regular"/>
              </w:rPr>
              <w:t>for specifi</w:t>
            </w:r>
            <w:r w:rsidRPr="002119C8">
              <w:rPr>
                <w:rFonts w:cs="AvenirNext-Regular"/>
              </w:rPr>
              <w:t>c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students in such areas as grammar and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syntax, writing strategies, discussion rules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and all aspects of foundational reading</w:t>
            </w:r>
          </w:p>
          <w:p w:rsidR="002119C8" w:rsidRPr="002119C8" w:rsidRDefault="002119C8" w:rsidP="002119C8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(</w:t>
            </w:r>
            <w:proofErr w:type="gramStart"/>
            <w:r w:rsidRPr="002119C8">
              <w:rPr>
                <w:rFonts w:cs="AvenirNext-Regular"/>
              </w:rPr>
              <w:t>decoding</w:t>
            </w:r>
            <w:proofErr w:type="gramEnd"/>
            <w:r w:rsidRPr="002119C8">
              <w:rPr>
                <w:rFonts w:cs="AvenirNext-Regular"/>
              </w:rPr>
              <w:t>, fl</w:t>
            </w:r>
            <w:r w:rsidRPr="002119C8">
              <w:rPr>
                <w:rFonts w:cs="AvenirNext-Regular"/>
              </w:rPr>
              <w:t>uency, vocabulary, etc.)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Bold"/>
                <w:b/>
                <w:bCs/>
              </w:rPr>
            </w:pPr>
            <w:r w:rsidRPr="002119C8">
              <w:rPr>
                <w:rFonts w:cs="AvenirNext-Regular"/>
              </w:rPr>
              <w:t xml:space="preserve">Provides all students with </w:t>
            </w:r>
            <w:r w:rsidRPr="002119C8">
              <w:rPr>
                <w:rFonts w:cs="AvenirNext-Bold"/>
                <w:b/>
                <w:bCs/>
              </w:rPr>
              <w:t>extensive</w:t>
            </w:r>
          </w:p>
          <w:p w:rsidR="002119C8" w:rsidRPr="002119C8" w:rsidRDefault="002119C8" w:rsidP="002119C8">
            <w:pPr>
              <w:pStyle w:val="ListParagraph"/>
              <w:autoSpaceDE w:val="0"/>
              <w:autoSpaceDN w:val="0"/>
              <w:adjustRightInd w:val="0"/>
              <w:rPr>
                <w:rFonts w:cs="AvenirNext-Bold"/>
                <w:b/>
                <w:bCs/>
              </w:rPr>
            </w:pPr>
            <w:proofErr w:type="gramStart"/>
            <w:r w:rsidRPr="002119C8">
              <w:rPr>
                <w:rFonts w:cs="AvenirNext-Bold"/>
                <w:b/>
                <w:bCs/>
              </w:rPr>
              <w:t>opportunities</w:t>
            </w:r>
            <w:proofErr w:type="gramEnd"/>
            <w:r w:rsidRPr="002119C8">
              <w:rPr>
                <w:rFonts w:cs="AvenirNext-Bold"/>
                <w:b/>
                <w:bCs/>
              </w:rPr>
              <w:t xml:space="preserve"> to engage with grade-level</w:t>
            </w:r>
            <w:r w:rsidRPr="002119C8">
              <w:rPr>
                <w:rFonts w:cs="AvenirNext-Bold"/>
                <w:b/>
                <w:bCs/>
              </w:rPr>
              <w:t xml:space="preserve"> </w:t>
            </w:r>
            <w:r w:rsidRPr="002119C8">
              <w:rPr>
                <w:rFonts w:cs="AvenirNext-Bold"/>
                <w:b/>
                <w:bCs/>
              </w:rPr>
              <w:t xml:space="preserve">complex texts </w:t>
            </w:r>
            <w:r w:rsidRPr="002119C8">
              <w:rPr>
                <w:rFonts w:cs="AvenirNext-Regular"/>
              </w:rPr>
              <w:t xml:space="preserve">and read </w:t>
            </w:r>
            <w:proofErr w:type="spellStart"/>
            <w:r w:rsidRPr="002119C8">
              <w:rPr>
                <w:rFonts w:cs="AvenirNext-Regular"/>
              </w:rPr>
              <w:t>alouds</w:t>
            </w:r>
            <w:proofErr w:type="spellEnd"/>
            <w:r w:rsidRPr="002119C8">
              <w:rPr>
                <w:rFonts w:cs="AvenirNext-Regular"/>
              </w:rPr>
              <w:t xml:space="preserve"> that include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 xml:space="preserve">appropriate </w:t>
            </w:r>
            <w:r w:rsidRPr="002119C8">
              <w:rPr>
                <w:rFonts w:cs="AvenirNext-Bold"/>
                <w:b/>
                <w:bCs/>
              </w:rPr>
              <w:t xml:space="preserve">scaffolding </w:t>
            </w:r>
            <w:r w:rsidRPr="002119C8">
              <w:rPr>
                <w:rFonts w:cs="AvenirNext-Regular"/>
              </w:rPr>
              <w:t>so that students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directly experience the complexity of the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text.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 xml:space="preserve">Focuses on </w:t>
            </w:r>
            <w:r w:rsidRPr="002119C8">
              <w:rPr>
                <w:rFonts w:cs="AvenirNext-Bold"/>
                <w:b/>
                <w:bCs/>
              </w:rPr>
              <w:t xml:space="preserve">sections of text(s) </w:t>
            </w:r>
            <w:r w:rsidRPr="002119C8">
              <w:rPr>
                <w:rFonts w:cs="AvenirNext-Regular"/>
              </w:rPr>
              <w:t>(including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 xml:space="preserve">read </w:t>
            </w:r>
            <w:proofErr w:type="spellStart"/>
            <w:r w:rsidRPr="002119C8">
              <w:rPr>
                <w:rFonts w:cs="AvenirNext-Regular"/>
              </w:rPr>
              <w:t>alouds</w:t>
            </w:r>
            <w:proofErr w:type="spellEnd"/>
            <w:r w:rsidRPr="002119C8">
              <w:rPr>
                <w:rFonts w:cs="AvenirNext-Regular"/>
              </w:rPr>
              <w:t>) that present the greatest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 xml:space="preserve">challenge; provides </w:t>
            </w:r>
            <w:r w:rsidRPr="002119C8">
              <w:rPr>
                <w:rFonts w:cs="AvenirNext-Bold"/>
                <w:b/>
                <w:bCs/>
              </w:rPr>
              <w:t>discussion questions</w:t>
            </w:r>
            <w:r w:rsidRPr="002119C8">
              <w:rPr>
                <w:rFonts w:cs="AvenirNext-Bold"/>
                <w:b/>
                <w:bCs/>
              </w:rPr>
              <w:t xml:space="preserve"> </w:t>
            </w:r>
            <w:r w:rsidRPr="002119C8">
              <w:rPr>
                <w:rFonts w:cs="AvenirNext-Bold"/>
                <w:b/>
                <w:bCs/>
              </w:rPr>
              <w:t xml:space="preserve">and other supports </w:t>
            </w:r>
            <w:r w:rsidRPr="002119C8">
              <w:rPr>
                <w:rFonts w:cs="AvenirNext-Regular"/>
              </w:rPr>
              <w:t>to promote student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engagement, understanding and progress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toward independence.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Integrates appropriate, extensive and easily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 xml:space="preserve">implemented </w:t>
            </w:r>
            <w:r w:rsidRPr="002119C8">
              <w:rPr>
                <w:rFonts w:cs="AvenirNext-Bold"/>
                <w:b/>
                <w:bCs/>
              </w:rPr>
              <w:t>supports for students who</w:t>
            </w:r>
            <w:r w:rsidRPr="002119C8">
              <w:rPr>
                <w:rFonts w:cs="AvenirNext-Bold"/>
                <w:b/>
                <w:bCs/>
              </w:rPr>
              <w:t xml:space="preserve"> </w:t>
            </w:r>
            <w:r w:rsidRPr="002119C8">
              <w:rPr>
                <w:rFonts w:cs="AvenirNext-Bold"/>
                <w:b/>
                <w:bCs/>
              </w:rPr>
              <w:t>are ELL, have disabilities and/or read well</w:t>
            </w:r>
            <w:r w:rsidRPr="002119C8">
              <w:rPr>
                <w:rFonts w:cs="AvenirNext-Bold"/>
                <w:b/>
                <w:bCs/>
              </w:rPr>
              <w:t xml:space="preserve"> </w:t>
            </w:r>
            <w:r w:rsidRPr="002119C8">
              <w:rPr>
                <w:rFonts w:cs="AvenirNext-Bold"/>
                <w:b/>
                <w:bCs/>
              </w:rPr>
              <w:t>below grade level.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Bold"/>
                <w:b/>
                <w:bCs/>
              </w:rPr>
              <w:t xml:space="preserve">Provides extensions </w:t>
            </w:r>
            <w:r w:rsidRPr="002119C8">
              <w:rPr>
                <w:rFonts w:cs="AvenirNext-Regular"/>
              </w:rPr>
              <w:t>and/or more advanced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text for students who read well above grade level.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 xml:space="preserve">Includes a </w:t>
            </w:r>
            <w:r w:rsidRPr="002119C8">
              <w:rPr>
                <w:rFonts w:cs="AvenirNext-Bold"/>
                <w:b/>
                <w:bCs/>
              </w:rPr>
              <w:t xml:space="preserve">progression of learning </w:t>
            </w:r>
            <w:r w:rsidRPr="002119C8">
              <w:rPr>
                <w:rFonts w:cs="AvenirNext-Regular"/>
              </w:rPr>
              <w:t>where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concepts, knowledge and skills advance and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deepen over time often taking advantage of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instructional level texts.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Bold"/>
                <w:b/>
                <w:bCs/>
              </w:rPr>
              <w:t xml:space="preserve">Gradually remove supports, </w:t>
            </w:r>
            <w:r w:rsidRPr="002119C8">
              <w:rPr>
                <w:rFonts w:cs="AvenirNext-Regular"/>
              </w:rPr>
              <w:t>allowing</w:t>
            </w:r>
          </w:p>
          <w:p w:rsidR="002119C8" w:rsidRPr="002119C8" w:rsidRDefault="002119C8" w:rsidP="002119C8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</w:rPr>
            </w:pPr>
            <w:proofErr w:type="gramStart"/>
            <w:r w:rsidRPr="002119C8">
              <w:rPr>
                <w:rFonts w:cs="AvenirNext-Regular"/>
              </w:rPr>
              <w:t>students</w:t>
            </w:r>
            <w:proofErr w:type="gramEnd"/>
            <w:r w:rsidRPr="002119C8">
              <w:rPr>
                <w:rFonts w:cs="AvenirNext-Regular"/>
              </w:rPr>
              <w:t xml:space="preserve"> to demonstrate their independent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capacities.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 xml:space="preserve">Include </w:t>
            </w:r>
            <w:r w:rsidRPr="002119C8">
              <w:rPr>
                <w:rFonts w:cs="AvenirNext-Bold"/>
                <w:b/>
                <w:bCs/>
              </w:rPr>
              <w:t xml:space="preserve">independent reading </w:t>
            </w:r>
            <w:r w:rsidRPr="002119C8">
              <w:rPr>
                <w:rFonts w:cs="AvenirNext-Regular"/>
              </w:rPr>
              <w:t>based on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student choice and interest to build stamina,</w:t>
            </w:r>
            <w:r w:rsidRPr="002119C8">
              <w:rPr>
                <w:rFonts w:cs="AvenirNext-Regular"/>
              </w:rPr>
              <w:t xml:space="preserve"> confi</w:t>
            </w:r>
            <w:r w:rsidRPr="002119C8">
              <w:rPr>
                <w:rFonts w:cs="AvenirNext-Regular"/>
              </w:rPr>
              <w:t>dence, and motivation.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 xml:space="preserve">Provide for </w:t>
            </w:r>
            <w:r w:rsidRPr="002119C8">
              <w:rPr>
                <w:rFonts w:cs="AvenirNext-Bold"/>
                <w:b/>
                <w:bCs/>
              </w:rPr>
              <w:t xml:space="preserve">authentic learning, </w:t>
            </w:r>
            <w:r w:rsidRPr="002119C8">
              <w:rPr>
                <w:rFonts w:cs="AvenirNext-Regular"/>
              </w:rPr>
              <w:t>application of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 xml:space="preserve">literacy skills and/or </w:t>
            </w:r>
            <w:r w:rsidRPr="002119C8">
              <w:rPr>
                <w:rFonts w:cs="AvenirNext-Bold"/>
                <w:b/>
                <w:bCs/>
              </w:rPr>
              <w:t>student- directed inquiry.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 xml:space="preserve">Use </w:t>
            </w:r>
            <w:r w:rsidRPr="002119C8">
              <w:rPr>
                <w:rFonts w:cs="AvenirNext-Bold"/>
                <w:b/>
                <w:bCs/>
              </w:rPr>
              <w:t xml:space="preserve">technology and media </w:t>
            </w:r>
            <w:r w:rsidRPr="002119C8">
              <w:rPr>
                <w:rFonts w:cs="AvenirNext-Regular"/>
              </w:rPr>
              <w:t>to deepen</w:t>
            </w:r>
          </w:p>
          <w:p w:rsidR="004B3CD0" w:rsidRPr="002119C8" w:rsidRDefault="002119C8" w:rsidP="002119C8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learning an</w:t>
            </w:r>
            <w:r w:rsidRPr="002119C8">
              <w:rPr>
                <w:rFonts w:cs="AvenirNext-Regular"/>
              </w:rPr>
              <w:t xml:space="preserve">d draw attention to evidence and </w:t>
            </w:r>
            <w:r w:rsidRPr="002119C8">
              <w:rPr>
                <w:rFonts w:cs="AvenirNext-Regular"/>
              </w:rPr>
              <w:t>texts as appropriate</w:t>
            </w:r>
          </w:p>
        </w:tc>
        <w:tc>
          <w:tcPr>
            <w:tcW w:w="47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CC"/>
          </w:tcPr>
          <w:p w:rsidR="004B3CD0" w:rsidRPr="002119C8" w:rsidRDefault="004B3CD0" w:rsidP="004B3CD0">
            <w:pPr>
              <w:autoSpaceDE w:val="0"/>
              <w:autoSpaceDN w:val="0"/>
              <w:adjustRightInd w:val="0"/>
              <w:rPr>
                <w:rFonts w:cs="AvenirNext-Bold"/>
                <w:b/>
                <w:bCs/>
                <w:szCs w:val="24"/>
              </w:rPr>
            </w:pPr>
            <w:r w:rsidRPr="002119C8">
              <w:rPr>
                <w:rFonts w:cs="AvenirNext-Bold"/>
                <w:b/>
                <w:bCs/>
                <w:szCs w:val="24"/>
              </w:rPr>
              <w:t>Instruction (lessons or units):</w:t>
            </w:r>
          </w:p>
          <w:p w:rsidR="004B3CD0" w:rsidRPr="002119C8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Bold"/>
                <w:b/>
                <w:bCs/>
                <w:szCs w:val="24"/>
              </w:rPr>
            </w:pPr>
            <w:r w:rsidRPr="002119C8">
              <w:rPr>
                <w:rFonts w:cs="AvenirNext-Regular"/>
                <w:szCs w:val="24"/>
              </w:rPr>
              <w:t xml:space="preserve">Elicits direct, </w:t>
            </w:r>
            <w:r w:rsidRPr="002119C8">
              <w:rPr>
                <w:rFonts w:cs="AvenirNext-Bold"/>
                <w:b/>
                <w:bCs/>
                <w:szCs w:val="24"/>
              </w:rPr>
              <w:t>observable evidence</w:t>
            </w:r>
          </w:p>
          <w:p w:rsidR="004B3CD0" w:rsidRPr="002119C8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  <w:szCs w:val="24"/>
              </w:rPr>
            </w:pPr>
            <w:r w:rsidRPr="002119C8">
              <w:rPr>
                <w:rFonts w:cs="AvenirNext-Regular"/>
                <w:szCs w:val="24"/>
              </w:rPr>
              <w:t>of the degree to which a student can</w:t>
            </w:r>
          </w:p>
          <w:p w:rsidR="004B3CD0" w:rsidRPr="002119C8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  <w:szCs w:val="24"/>
              </w:rPr>
            </w:pPr>
            <w:proofErr w:type="gramStart"/>
            <w:r w:rsidRPr="002119C8">
              <w:rPr>
                <w:rFonts w:cs="AvenirNext-Regular"/>
                <w:szCs w:val="24"/>
              </w:rPr>
              <w:t>independently</w:t>
            </w:r>
            <w:proofErr w:type="gramEnd"/>
            <w:r w:rsidRPr="002119C8">
              <w:rPr>
                <w:rFonts w:cs="AvenirNext-Regular"/>
                <w:szCs w:val="24"/>
              </w:rPr>
              <w:t xml:space="preserve"> demonstrate.</w:t>
            </w:r>
          </w:p>
          <w:p w:rsidR="004B3CD0" w:rsidRPr="002119C8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Regular"/>
                <w:szCs w:val="24"/>
              </w:rPr>
            </w:pPr>
            <w:r w:rsidRPr="002119C8">
              <w:rPr>
                <w:rFonts w:cs="AvenirNext-Regular"/>
                <w:szCs w:val="24"/>
              </w:rPr>
              <w:t>Includes assessing student skills using</w:t>
            </w:r>
          </w:p>
          <w:p w:rsidR="004B3CD0" w:rsidRPr="002119C8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Bold"/>
                <w:b/>
                <w:bCs/>
                <w:szCs w:val="24"/>
              </w:rPr>
            </w:pPr>
            <w:proofErr w:type="gramStart"/>
            <w:r w:rsidRPr="002119C8">
              <w:rPr>
                <w:rFonts w:cs="AvenirNext-Regular"/>
                <w:szCs w:val="24"/>
              </w:rPr>
              <w:t>methods</w:t>
            </w:r>
            <w:proofErr w:type="gramEnd"/>
            <w:r w:rsidRPr="002119C8">
              <w:rPr>
                <w:rFonts w:cs="AvenirNext-Regular"/>
                <w:szCs w:val="24"/>
              </w:rPr>
              <w:t xml:space="preserve"> that are </w:t>
            </w:r>
            <w:r w:rsidRPr="002119C8">
              <w:rPr>
                <w:rFonts w:cs="AvenirNext-Bold"/>
                <w:b/>
                <w:bCs/>
                <w:szCs w:val="24"/>
              </w:rPr>
              <w:t>unbiased and accessible</w:t>
            </w:r>
            <w:r w:rsidRPr="002119C8">
              <w:rPr>
                <w:rFonts w:cs="AvenirNext-Bold"/>
                <w:b/>
                <w:bCs/>
                <w:szCs w:val="24"/>
              </w:rPr>
              <w:t xml:space="preserve"> </w:t>
            </w:r>
            <w:r w:rsidRPr="002119C8">
              <w:rPr>
                <w:rFonts w:cs="AvenirNext-Bold"/>
                <w:b/>
                <w:bCs/>
                <w:szCs w:val="24"/>
              </w:rPr>
              <w:t>to all students.</w:t>
            </w:r>
          </w:p>
          <w:p w:rsidR="004B3CD0" w:rsidRPr="002119C8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Bold"/>
                <w:b/>
                <w:bCs/>
                <w:szCs w:val="24"/>
              </w:rPr>
            </w:pPr>
            <w:r w:rsidRPr="002119C8">
              <w:rPr>
                <w:rFonts w:cs="AvenirNext-Regular"/>
                <w:szCs w:val="24"/>
              </w:rPr>
              <w:t xml:space="preserve">Includes aligned </w:t>
            </w:r>
            <w:r w:rsidRPr="002119C8">
              <w:rPr>
                <w:rFonts w:cs="AvenirNext-Bold"/>
                <w:b/>
                <w:bCs/>
                <w:szCs w:val="24"/>
              </w:rPr>
              <w:t xml:space="preserve">rubrics </w:t>
            </w:r>
            <w:r w:rsidRPr="002119C8">
              <w:rPr>
                <w:rFonts w:cs="AvenirNext-Regular"/>
                <w:szCs w:val="24"/>
              </w:rPr>
              <w:t>or assessment</w:t>
            </w:r>
            <w:r w:rsidRPr="002119C8">
              <w:rPr>
                <w:rFonts w:cs="AvenirNext-Regular"/>
                <w:szCs w:val="24"/>
              </w:rPr>
              <w:t xml:space="preserve"> </w:t>
            </w:r>
            <w:r w:rsidRPr="002119C8">
              <w:rPr>
                <w:rFonts w:cs="AvenirNext-Bold"/>
                <w:b/>
                <w:bCs/>
                <w:szCs w:val="24"/>
              </w:rPr>
              <w:t xml:space="preserve">checklists </w:t>
            </w:r>
            <w:r w:rsidRPr="002119C8">
              <w:rPr>
                <w:rFonts w:cs="AvenirNext-Regular"/>
                <w:szCs w:val="24"/>
              </w:rPr>
              <w:t>that provide suffi</w:t>
            </w:r>
            <w:r w:rsidRPr="002119C8">
              <w:rPr>
                <w:rFonts w:cs="AvenirNext-Regular"/>
                <w:szCs w:val="24"/>
              </w:rPr>
              <w:t>cient guidance to</w:t>
            </w:r>
            <w:r w:rsidRPr="002119C8">
              <w:rPr>
                <w:rFonts w:cs="AvenirNext-Regular"/>
                <w:szCs w:val="24"/>
              </w:rPr>
              <w:t xml:space="preserve"> </w:t>
            </w:r>
            <w:r w:rsidRPr="002119C8">
              <w:rPr>
                <w:rFonts w:cs="AvenirNext-Regular"/>
                <w:szCs w:val="24"/>
              </w:rPr>
              <w:t>offer feedback to students on strengths and</w:t>
            </w:r>
            <w:r w:rsidRPr="002119C8">
              <w:rPr>
                <w:rFonts w:cs="AvenirNext-Regular"/>
                <w:szCs w:val="24"/>
              </w:rPr>
              <w:t xml:space="preserve"> </w:t>
            </w:r>
            <w:r w:rsidRPr="002119C8">
              <w:rPr>
                <w:rFonts w:cs="AvenirNext-Regular"/>
                <w:szCs w:val="24"/>
              </w:rPr>
              <w:t>areas of growth.</w:t>
            </w:r>
          </w:p>
          <w:p w:rsidR="004B3CD0" w:rsidRPr="002119C8" w:rsidRDefault="004B3CD0" w:rsidP="004B3C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venirNext-Bold"/>
                <w:b/>
                <w:bCs/>
                <w:szCs w:val="24"/>
              </w:rPr>
            </w:pPr>
            <w:r w:rsidRPr="002119C8">
              <w:rPr>
                <w:rFonts w:cs="AvenirNext-Regular"/>
                <w:szCs w:val="24"/>
              </w:rPr>
              <w:t xml:space="preserve">Uses </w:t>
            </w:r>
            <w:r w:rsidRPr="002119C8">
              <w:rPr>
                <w:rFonts w:cs="AvenirNext-Bold"/>
                <w:b/>
                <w:bCs/>
                <w:szCs w:val="24"/>
              </w:rPr>
              <w:t>varied modes of assessment,</w:t>
            </w:r>
          </w:p>
          <w:p w:rsidR="004B3CD0" w:rsidRPr="002119C8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  <w:szCs w:val="24"/>
              </w:rPr>
            </w:pPr>
            <w:r w:rsidRPr="002119C8">
              <w:rPr>
                <w:rFonts w:cs="AvenirNext-Regular"/>
                <w:szCs w:val="24"/>
              </w:rPr>
              <w:t>including a range of pre, formative,</w:t>
            </w:r>
          </w:p>
          <w:p w:rsidR="004B3CD0" w:rsidRPr="002119C8" w:rsidRDefault="004B3CD0" w:rsidP="004B3CD0">
            <w:pPr>
              <w:pStyle w:val="ListParagraph"/>
              <w:autoSpaceDE w:val="0"/>
              <w:autoSpaceDN w:val="0"/>
              <w:adjustRightInd w:val="0"/>
              <w:rPr>
                <w:rFonts w:cs="AvenirNext-Regular"/>
                <w:color w:val="000000"/>
                <w:szCs w:val="24"/>
              </w:rPr>
            </w:pPr>
            <w:proofErr w:type="gramStart"/>
            <w:r w:rsidRPr="002119C8">
              <w:rPr>
                <w:rFonts w:cs="AvenirNext-Regular"/>
                <w:szCs w:val="24"/>
              </w:rPr>
              <w:t>summative</w:t>
            </w:r>
            <w:proofErr w:type="gramEnd"/>
            <w:r w:rsidRPr="002119C8">
              <w:rPr>
                <w:rFonts w:cs="AvenirNext-Regular"/>
                <w:szCs w:val="24"/>
              </w:rPr>
              <w:t xml:space="preserve"> and self- assessment measures.</w:t>
            </w:r>
          </w:p>
        </w:tc>
      </w:tr>
      <w:tr w:rsidR="004B3CD0" w:rsidRPr="002119C8" w:rsidTr="004B3CD0">
        <w:trPr>
          <w:trHeight w:val="282"/>
          <w:jc w:val="center"/>
        </w:trPr>
        <w:tc>
          <w:tcPr>
            <w:tcW w:w="4788" w:type="dxa"/>
            <w:vMerge/>
            <w:shd w:val="clear" w:color="auto" w:fill="95B3D7" w:themeFill="accent1" w:themeFillTint="99"/>
          </w:tcPr>
          <w:p w:rsidR="004B3CD0" w:rsidRPr="002119C8" w:rsidRDefault="004B3CD0" w:rsidP="0006100D">
            <w:pPr>
              <w:autoSpaceDE w:val="0"/>
              <w:autoSpaceDN w:val="0"/>
              <w:adjustRightInd w:val="0"/>
              <w:rPr>
                <w:rFonts w:cs="AvenirNext-Bold"/>
                <w:b/>
                <w:bCs/>
                <w:szCs w:val="24"/>
              </w:rPr>
            </w:pPr>
          </w:p>
        </w:tc>
        <w:tc>
          <w:tcPr>
            <w:tcW w:w="47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4B3CD0" w:rsidRPr="002119C8" w:rsidRDefault="004B3CD0" w:rsidP="004B3CD0">
            <w:pPr>
              <w:autoSpaceDE w:val="0"/>
              <w:autoSpaceDN w:val="0"/>
              <w:adjustRightInd w:val="0"/>
              <w:rPr>
                <w:rFonts w:cs="AvenirNext-Regular"/>
                <w:color w:val="000000"/>
                <w:szCs w:val="24"/>
              </w:rPr>
            </w:pPr>
            <w:r w:rsidRPr="002119C8">
              <w:rPr>
                <w:rFonts w:cs="AvenirNextCondensed-Bold"/>
                <w:b/>
                <w:bCs/>
                <w:color w:val="FFFFFF"/>
                <w:szCs w:val="24"/>
              </w:rPr>
              <w:t>V. Opportunities for Deeper Learning</w:t>
            </w:r>
          </w:p>
        </w:tc>
      </w:tr>
      <w:tr w:rsidR="004B3CD0" w:rsidRPr="002119C8" w:rsidTr="002A5700">
        <w:trPr>
          <w:trHeight w:val="1909"/>
          <w:jc w:val="center"/>
        </w:trPr>
        <w:tc>
          <w:tcPr>
            <w:tcW w:w="4788" w:type="dxa"/>
            <w:vMerge/>
            <w:tcBorders>
              <w:bottom w:val="single" w:sz="18" w:space="0" w:color="000000" w:themeColor="text1"/>
            </w:tcBorders>
            <w:shd w:val="clear" w:color="auto" w:fill="95B3D7" w:themeFill="accent1" w:themeFillTint="99"/>
          </w:tcPr>
          <w:p w:rsidR="004B3CD0" w:rsidRPr="002119C8" w:rsidRDefault="004B3CD0" w:rsidP="0006100D">
            <w:pPr>
              <w:autoSpaceDE w:val="0"/>
              <w:autoSpaceDN w:val="0"/>
              <w:adjustRightInd w:val="0"/>
              <w:rPr>
                <w:rFonts w:cs="AvenirNext-Bold"/>
                <w:b/>
                <w:bCs/>
                <w:szCs w:val="24"/>
              </w:rPr>
            </w:pPr>
          </w:p>
        </w:tc>
        <w:tc>
          <w:tcPr>
            <w:tcW w:w="478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CC"/>
          </w:tcPr>
          <w:p w:rsidR="002119C8" w:rsidRPr="002119C8" w:rsidRDefault="002119C8" w:rsidP="002119C8">
            <w:p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Instruction is designed to engage learners in</w:t>
            </w:r>
          </w:p>
          <w:p w:rsidR="002119C8" w:rsidRPr="002119C8" w:rsidRDefault="002119C8" w:rsidP="002119C8">
            <w:p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at least one of the following deeper learning</w:t>
            </w:r>
          </w:p>
          <w:p w:rsidR="002119C8" w:rsidRPr="002119C8" w:rsidRDefault="002119C8" w:rsidP="002119C8">
            <w:p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skills: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Think critically and solve complex problems.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Work collaboratively.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Communicate effectively.</w:t>
            </w:r>
          </w:p>
          <w:p w:rsidR="002119C8" w:rsidRPr="002119C8" w:rsidRDefault="002119C8" w:rsidP="002119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Learn how to learn.</w:t>
            </w:r>
          </w:p>
          <w:p w:rsidR="004B3CD0" w:rsidRPr="002119C8" w:rsidRDefault="002119C8" w:rsidP="002119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venirNext-Regular"/>
              </w:rPr>
            </w:pPr>
            <w:r w:rsidRPr="002119C8">
              <w:rPr>
                <w:rFonts w:cs="AvenirNext-Regular"/>
              </w:rPr>
              <w:t>Uses varied modes of assessment, including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a range of pre, formative, summative and</w:t>
            </w:r>
            <w:r w:rsidRPr="002119C8">
              <w:rPr>
                <w:rFonts w:cs="AvenirNext-Regular"/>
              </w:rPr>
              <w:t xml:space="preserve"> </w:t>
            </w:r>
            <w:r w:rsidRPr="002119C8">
              <w:rPr>
                <w:rFonts w:cs="AvenirNext-Regular"/>
              </w:rPr>
              <w:t>self- assessment measures.</w:t>
            </w:r>
          </w:p>
        </w:tc>
      </w:tr>
    </w:tbl>
    <w:p w:rsidR="004B3CD0" w:rsidRPr="004B3CD0" w:rsidRDefault="004B3CD0" w:rsidP="004B3CD0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0000"/>
        </w:rPr>
      </w:pPr>
    </w:p>
    <w:sectPr w:rsidR="004B3CD0" w:rsidRPr="004B3C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74" w:rsidRDefault="00BC4774" w:rsidP="004B3CD0">
      <w:pPr>
        <w:spacing w:after="0" w:line="240" w:lineRule="auto"/>
      </w:pPr>
      <w:r>
        <w:separator/>
      </w:r>
    </w:p>
  </w:endnote>
  <w:endnote w:type="continuationSeparator" w:id="0">
    <w:p w:rsidR="00BC4774" w:rsidRDefault="00BC4774" w:rsidP="004B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B3CD0">
      <w:tc>
        <w:tcPr>
          <w:tcW w:w="918" w:type="dxa"/>
        </w:tcPr>
        <w:p w:rsidR="004B3CD0" w:rsidRPr="004B3CD0" w:rsidRDefault="004B3CD0" w:rsidP="004B3CD0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b/>
              <w:bCs/>
              <w:noProof/>
              <w:color w:val="4F81BD" w:themeColor="accent1"/>
              <w:sz w:val="32"/>
              <w:szCs w:val="32"/>
            </w:rPr>
            <w:drawing>
              <wp:inline distT="0" distB="0" distL="0" distR="0">
                <wp:extent cx="428531" cy="28660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tchm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531" cy="28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4B3CD0" w:rsidRPr="004B3CD0" w:rsidRDefault="004B3CD0" w:rsidP="004B3CD0">
          <w:pPr>
            <w:pStyle w:val="Footer"/>
            <w:jc w:val="center"/>
            <w:rPr>
              <w:b/>
            </w:rPr>
          </w:pPr>
          <w:r w:rsidRPr="004B3CD0">
            <w:rPr>
              <w:b/>
            </w:rPr>
            <w:t>TRADITION – PRIDE – EXCELLENCE</w:t>
          </w:r>
        </w:p>
        <w:p w:rsidR="004B3CD0" w:rsidRDefault="004B3CD0" w:rsidP="004B3CD0">
          <w:pPr>
            <w:pStyle w:val="Footer"/>
            <w:jc w:val="center"/>
          </w:pPr>
          <w:r>
            <w:t>“Dutchmen Strong”</w:t>
          </w:r>
        </w:p>
      </w:tc>
    </w:tr>
  </w:tbl>
  <w:p w:rsidR="004B3CD0" w:rsidRPr="004B3CD0" w:rsidRDefault="004B3CD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74" w:rsidRDefault="00BC4774" w:rsidP="004B3CD0">
      <w:pPr>
        <w:spacing w:after="0" w:line="240" w:lineRule="auto"/>
      </w:pPr>
      <w:r>
        <w:separator/>
      </w:r>
    </w:p>
  </w:footnote>
  <w:footnote w:type="continuationSeparator" w:id="0">
    <w:p w:rsidR="00BC4774" w:rsidRDefault="00BC4774" w:rsidP="004B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927"/>
    <w:multiLevelType w:val="hybridMultilevel"/>
    <w:tmpl w:val="89AE5FF6"/>
    <w:lvl w:ilvl="0" w:tplc="92C87BB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723D"/>
    <w:multiLevelType w:val="hybridMultilevel"/>
    <w:tmpl w:val="B9D0E1B8"/>
    <w:lvl w:ilvl="0" w:tplc="92C87BB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E2C66"/>
    <w:multiLevelType w:val="hybridMultilevel"/>
    <w:tmpl w:val="1A904BE0"/>
    <w:lvl w:ilvl="0" w:tplc="92C87BB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E3CC0"/>
    <w:multiLevelType w:val="hybridMultilevel"/>
    <w:tmpl w:val="3ABCC23A"/>
    <w:lvl w:ilvl="0" w:tplc="63703994">
      <w:numFmt w:val="bullet"/>
      <w:lvlText w:val="•"/>
      <w:lvlJc w:val="left"/>
      <w:pPr>
        <w:ind w:left="720" w:hanging="360"/>
      </w:pPr>
      <w:rPr>
        <w:rFonts w:ascii="AvenirNext-Regular" w:eastAsiaTheme="minorHAnsi" w:hAnsi="AvenirNext-Regular" w:cs="AvenirNext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76D9E"/>
    <w:multiLevelType w:val="hybridMultilevel"/>
    <w:tmpl w:val="34200A76"/>
    <w:lvl w:ilvl="0" w:tplc="92C87BB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23A2E"/>
    <w:multiLevelType w:val="hybridMultilevel"/>
    <w:tmpl w:val="983CBADA"/>
    <w:lvl w:ilvl="0" w:tplc="7220911E">
      <w:numFmt w:val="bullet"/>
      <w:lvlText w:val="•"/>
      <w:lvlJc w:val="left"/>
      <w:pPr>
        <w:ind w:left="720" w:hanging="360"/>
      </w:pPr>
      <w:rPr>
        <w:rFonts w:ascii="Calibri" w:eastAsiaTheme="minorHAnsi" w:hAnsi="Calibri" w:cs="AvenirNext-Regula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43356"/>
    <w:multiLevelType w:val="hybridMultilevel"/>
    <w:tmpl w:val="469E88AE"/>
    <w:lvl w:ilvl="0" w:tplc="92C87BB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B1A75EE">
      <w:numFmt w:val="bullet"/>
      <w:lvlText w:val="•"/>
      <w:lvlJc w:val="left"/>
      <w:pPr>
        <w:ind w:left="1440" w:hanging="360"/>
      </w:pPr>
      <w:rPr>
        <w:rFonts w:ascii="Calibri" w:eastAsiaTheme="minorHAnsi" w:hAnsi="Calibri" w:cs="AvenirNext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75C4C"/>
    <w:multiLevelType w:val="hybridMultilevel"/>
    <w:tmpl w:val="3B8CE1B6"/>
    <w:lvl w:ilvl="0" w:tplc="E37484B2">
      <w:numFmt w:val="bullet"/>
      <w:lvlText w:val="•"/>
      <w:lvlJc w:val="left"/>
      <w:pPr>
        <w:ind w:left="720" w:hanging="360"/>
      </w:pPr>
      <w:rPr>
        <w:rFonts w:ascii="Calibri" w:eastAsiaTheme="minorHAnsi" w:hAnsi="Calibri" w:cs="AvenirNext-Regula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D0"/>
    <w:rsid w:val="00121F0D"/>
    <w:rsid w:val="002119C8"/>
    <w:rsid w:val="004B3CD0"/>
    <w:rsid w:val="00965610"/>
    <w:rsid w:val="00B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D0"/>
  </w:style>
  <w:style w:type="paragraph" w:styleId="Footer">
    <w:name w:val="footer"/>
    <w:basedOn w:val="Normal"/>
    <w:link w:val="FooterChar"/>
    <w:uiPriority w:val="99"/>
    <w:unhideWhenUsed/>
    <w:rsid w:val="004B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D0"/>
  </w:style>
  <w:style w:type="paragraph" w:styleId="BalloonText">
    <w:name w:val="Balloon Text"/>
    <w:basedOn w:val="Normal"/>
    <w:link w:val="BalloonTextChar"/>
    <w:uiPriority w:val="99"/>
    <w:semiHidden/>
    <w:unhideWhenUsed/>
    <w:rsid w:val="004B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D0"/>
  </w:style>
  <w:style w:type="paragraph" w:styleId="Footer">
    <w:name w:val="footer"/>
    <w:basedOn w:val="Normal"/>
    <w:link w:val="FooterChar"/>
    <w:uiPriority w:val="99"/>
    <w:unhideWhenUsed/>
    <w:rsid w:val="004B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D0"/>
  </w:style>
  <w:style w:type="paragraph" w:styleId="BalloonText">
    <w:name w:val="Balloon Text"/>
    <w:basedOn w:val="Normal"/>
    <w:link w:val="BalloonTextChar"/>
    <w:uiPriority w:val="99"/>
    <w:semiHidden/>
    <w:unhideWhenUsed/>
    <w:rsid w:val="004B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2015-04-20T17:17:00Z</dcterms:created>
  <dcterms:modified xsi:type="dcterms:W3CDTF">2015-04-20T17:31:00Z</dcterms:modified>
</cp:coreProperties>
</file>