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7" w:rsidRDefault="00701DD6" w:rsidP="001C5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01DD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1C5E4C" w:rsidRPr="001C5E4C">
        <w:rPr>
          <w:b/>
          <w:sz w:val="24"/>
          <w:szCs w:val="24"/>
        </w:rPr>
        <w:t xml:space="preserve">Grade ELA </w:t>
      </w:r>
      <w:r w:rsidR="001C5E4C">
        <w:rPr>
          <w:b/>
          <w:sz w:val="24"/>
          <w:szCs w:val="24"/>
        </w:rPr>
        <w:t>Module Overviews</w:t>
      </w:r>
    </w:p>
    <w:p w:rsidR="00016508" w:rsidRPr="00386840" w:rsidRDefault="00F47D94" w:rsidP="0001650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modules act as over</w:t>
      </w:r>
      <w:r w:rsidR="00016508" w:rsidRPr="00386840">
        <w:rPr>
          <w:i/>
          <w:sz w:val="24"/>
          <w:szCs w:val="24"/>
        </w:rPr>
        <w:t xml:space="preserve">arching themes throughout the year. They align to the major shifts of Common Core </w:t>
      </w:r>
      <w:r w:rsidR="007B62D9" w:rsidRPr="00386840">
        <w:rPr>
          <w:i/>
          <w:sz w:val="24"/>
          <w:szCs w:val="24"/>
        </w:rPr>
        <w:t>and encompass all priority and supporting s</w:t>
      </w:r>
      <w:r w:rsidR="00016508" w:rsidRPr="00386840">
        <w:rPr>
          <w:i/>
          <w:sz w:val="24"/>
          <w:szCs w:val="24"/>
        </w:rPr>
        <w:t xml:space="preserve">tate </w:t>
      </w:r>
      <w:r w:rsidR="007B62D9" w:rsidRPr="00386840">
        <w:rPr>
          <w:i/>
          <w:sz w:val="24"/>
          <w:szCs w:val="24"/>
        </w:rPr>
        <w:t>s</w:t>
      </w:r>
      <w:r w:rsidR="00016508" w:rsidRPr="00386840">
        <w:rPr>
          <w:i/>
          <w:sz w:val="24"/>
          <w:szCs w:val="24"/>
        </w:rPr>
        <w:t>tandards</w:t>
      </w:r>
      <w:r w:rsidR="007B62D9" w:rsidRPr="00386840">
        <w:rPr>
          <w:i/>
          <w:sz w:val="24"/>
          <w:szCs w:val="24"/>
        </w:rPr>
        <w:t xml:space="preserve"> in a cyclical fashion</w:t>
      </w:r>
      <w:r w:rsidR="00016508" w:rsidRPr="00386840">
        <w:rPr>
          <w:i/>
          <w:sz w:val="24"/>
          <w:szCs w:val="24"/>
        </w:rPr>
        <w:t xml:space="preserve">. They are </w:t>
      </w:r>
      <w:r w:rsidR="007B62D9" w:rsidRPr="00386840">
        <w:rPr>
          <w:i/>
          <w:sz w:val="24"/>
          <w:szCs w:val="24"/>
        </w:rPr>
        <w:t>offered as</w:t>
      </w:r>
      <w:r w:rsidR="00016508" w:rsidRPr="00386840">
        <w:rPr>
          <w:i/>
          <w:sz w:val="24"/>
          <w:szCs w:val="24"/>
        </w:rPr>
        <w:t xml:space="preserve"> a </w:t>
      </w:r>
      <w:r w:rsidR="007B62D9" w:rsidRPr="00386840">
        <w:rPr>
          <w:i/>
          <w:sz w:val="24"/>
          <w:szCs w:val="24"/>
        </w:rPr>
        <w:t xml:space="preserve">flexible </w:t>
      </w:r>
      <w:r w:rsidR="00016508" w:rsidRPr="00386840">
        <w:rPr>
          <w:i/>
          <w:sz w:val="24"/>
          <w:szCs w:val="24"/>
        </w:rPr>
        <w:t xml:space="preserve">curriculum map across the year </w:t>
      </w:r>
      <w:r w:rsidR="007B62D9" w:rsidRPr="00386840">
        <w:rPr>
          <w:i/>
          <w:sz w:val="24"/>
          <w:szCs w:val="24"/>
        </w:rPr>
        <w:t>and</w:t>
      </w:r>
      <w:r w:rsidR="001E406B" w:rsidRPr="00386840">
        <w:rPr>
          <w:i/>
          <w:sz w:val="24"/>
          <w:szCs w:val="24"/>
        </w:rPr>
        <w:t xml:space="preserve"> </w:t>
      </w:r>
      <w:r w:rsidR="007B62D9" w:rsidRPr="00386840">
        <w:rPr>
          <w:i/>
          <w:sz w:val="24"/>
          <w:szCs w:val="24"/>
        </w:rPr>
        <w:t xml:space="preserve">as </w:t>
      </w:r>
      <w:r w:rsidR="001E406B" w:rsidRPr="00386840">
        <w:rPr>
          <w:i/>
          <w:sz w:val="24"/>
          <w:szCs w:val="24"/>
        </w:rPr>
        <w:t xml:space="preserve">a guide for whole group reading and writing instruction, part of a comprehensive literacy </w:t>
      </w:r>
      <w:r w:rsidR="007B62D9" w:rsidRPr="00386840">
        <w:rPr>
          <w:i/>
          <w:sz w:val="24"/>
          <w:szCs w:val="24"/>
        </w:rPr>
        <w:t>model</w:t>
      </w:r>
      <w:r w:rsidR="001E406B" w:rsidRPr="00386840">
        <w:rPr>
          <w:i/>
          <w:sz w:val="24"/>
          <w:szCs w:val="24"/>
        </w:rPr>
        <w:t xml:space="preserve"> as detailed in </w:t>
      </w:r>
      <w:r w:rsidR="007B62D9" w:rsidRPr="00386840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GCR2</w:t>
      </w:r>
      <w:r w:rsidR="001E406B" w:rsidRPr="00386840">
        <w:rPr>
          <w:i/>
          <w:sz w:val="24"/>
          <w:szCs w:val="24"/>
        </w:rPr>
        <w:t xml:space="preserve"> Literacy Blueprint. </w:t>
      </w:r>
      <w:r w:rsidR="00386840" w:rsidRPr="00386840">
        <w:rPr>
          <w:i/>
          <w:sz w:val="24"/>
          <w:szCs w:val="24"/>
        </w:rPr>
        <w:t xml:space="preserve">Small group and independent reading and writing while not detailed in the modules should be a regular part of the literacy block and more responsive to student needs. </w:t>
      </w:r>
      <w:r w:rsidR="00216124" w:rsidRPr="00386840">
        <w:rPr>
          <w:i/>
          <w:sz w:val="24"/>
          <w:szCs w:val="24"/>
        </w:rPr>
        <w:t xml:space="preserve">While module 1 needs to be done in the </w:t>
      </w:r>
      <w:r w:rsidR="005C10EC" w:rsidRPr="00386840">
        <w:rPr>
          <w:i/>
          <w:sz w:val="24"/>
          <w:szCs w:val="24"/>
        </w:rPr>
        <w:t>fall</w:t>
      </w:r>
      <w:r w:rsidR="00216124" w:rsidRPr="00386840">
        <w:rPr>
          <w:i/>
          <w:sz w:val="24"/>
          <w:szCs w:val="24"/>
        </w:rPr>
        <w:t xml:space="preserve"> in one </w:t>
      </w:r>
      <w:r w:rsidR="00B948A8" w:rsidRPr="00386840">
        <w:rPr>
          <w:i/>
          <w:sz w:val="24"/>
          <w:szCs w:val="24"/>
        </w:rPr>
        <w:t>chunk</w:t>
      </w:r>
      <w:r w:rsidR="00216124" w:rsidRPr="00386840">
        <w:rPr>
          <w:i/>
          <w:sz w:val="24"/>
          <w:szCs w:val="24"/>
        </w:rPr>
        <w:t>, modules 2,</w:t>
      </w:r>
      <w:r w:rsidR="00B948A8" w:rsidRPr="00386840">
        <w:rPr>
          <w:i/>
          <w:sz w:val="24"/>
          <w:szCs w:val="24"/>
        </w:rPr>
        <w:t xml:space="preserve"> </w:t>
      </w:r>
      <w:r w:rsidR="00216124" w:rsidRPr="00386840">
        <w:rPr>
          <w:i/>
          <w:sz w:val="24"/>
          <w:szCs w:val="24"/>
        </w:rPr>
        <w:t xml:space="preserve">3, and 4 </w:t>
      </w:r>
      <w:r w:rsidR="00B948A8" w:rsidRPr="00386840">
        <w:rPr>
          <w:i/>
          <w:sz w:val="24"/>
          <w:szCs w:val="24"/>
        </w:rPr>
        <w:t xml:space="preserve">can be switched around and could be done in 2 cycles; cycle 1 as an introduction and cycle 2 taking it deeper. The suggested time lines are meant for the 2 cycle </w:t>
      </w:r>
      <w:r w:rsidR="00264CC1" w:rsidRPr="00386840">
        <w:rPr>
          <w:i/>
          <w:sz w:val="24"/>
          <w:szCs w:val="24"/>
        </w:rPr>
        <w:t xml:space="preserve">approach </w:t>
      </w:r>
      <w:r w:rsidR="00B948A8" w:rsidRPr="00386840">
        <w:rPr>
          <w:i/>
          <w:sz w:val="24"/>
          <w:szCs w:val="24"/>
        </w:rPr>
        <w:t>of modules 2-4.</w:t>
      </w: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1610"/>
        <w:gridCol w:w="1530"/>
      </w:tblGrid>
      <w:tr w:rsidR="00BA5C95" w:rsidTr="00431C79">
        <w:tc>
          <w:tcPr>
            <w:tcW w:w="1440" w:type="dxa"/>
            <w:tcBorders>
              <w:bottom w:val="single" w:sz="4" w:space="0" w:color="auto"/>
            </w:tcBorders>
          </w:tcPr>
          <w:p w:rsidR="00BA5C95" w:rsidRPr="00845C7F" w:rsidRDefault="00BA5C95" w:rsidP="001C5E4C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610" w:type="dxa"/>
            <w:tcBorders>
              <w:bottom w:val="single" w:sz="4" w:space="0" w:color="auto"/>
            </w:tcBorders>
          </w:tcPr>
          <w:p w:rsidR="00BA5C95" w:rsidRPr="00BA5C95" w:rsidRDefault="00BA5C95" w:rsidP="00BA5C95">
            <w:pPr>
              <w:jc w:val="center"/>
              <w:rPr>
                <w:rFonts w:cstheme="minorHAnsi"/>
                <w:b/>
              </w:rPr>
            </w:pPr>
            <w:r w:rsidRPr="00BA5C95">
              <w:rPr>
                <w:rFonts w:cstheme="minorHAnsi"/>
                <w:b/>
              </w:rPr>
              <w:t>Overview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5C95" w:rsidRPr="0076007E" w:rsidRDefault="00BA5C95" w:rsidP="00BA5C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007E">
              <w:rPr>
                <w:rFonts w:cstheme="minorHAnsi"/>
                <w:b/>
                <w:sz w:val="16"/>
                <w:szCs w:val="16"/>
              </w:rPr>
              <w:t>Possible Time Line</w:t>
            </w:r>
            <w:r w:rsidR="0076007E">
              <w:rPr>
                <w:rFonts w:cstheme="minorHAnsi"/>
                <w:b/>
                <w:sz w:val="16"/>
                <w:szCs w:val="16"/>
              </w:rPr>
              <w:t xml:space="preserve"> for 2015-2016</w:t>
            </w:r>
            <w:r w:rsidRPr="0076007E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1E406B" w:rsidTr="00431C79">
        <w:tc>
          <w:tcPr>
            <w:tcW w:w="1440" w:type="dxa"/>
            <w:tcBorders>
              <w:bottom w:val="single" w:sz="18" w:space="0" w:color="auto"/>
            </w:tcBorders>
          </w:tcPr>
          <w:p w:rsidR="001E406B" w:rsidRPr="00845C7F" w:rsidRDefault="001E406B" w:rsidP="001C5E4C">
            <w:pPr>
              <w:jc w:val="center"/>
              <w:rPr>
                <w:b/>
              </w:rPr>
            </w:pPr>
            <w:r w:rsidRPr="00845C7F">
              <w:rPr>
                <w:b/>
              </w:rPr>
              <w:t>Module 1</w:t>
            </w:r>
          </w:p>
          <w:p w:rsidR="001E406B" w:rsidRDefault="001E406B" w:rsidP="001C5E4C">
            <w:pPr>
              <w:jc w:val="center"/>
            </w:pPr>
            <w:r>
              <w:t>Launching Your ELA Workshop and Baseline Assessments</w:t>
            </w:r>
          </w:p>
          <w:p w:rsidR="001E406B" w:rsidRDefault="001E406B" w:rsidP="00016508">
            <w:pPr>
              <w:jc w:val="center"/>
            </w:pPr>
            <w:r>
              <w:t>&amp; Introducing “Close Reading and Writing to Learn”</w:t>
            </w:r>
          </w:p>
          <w:p w:rsidR="001E406B" w:rsidRDefault="001E406B" w:rsidP="001C5E4C">
            <w:pPr>
              <w:jc w:val="center"/>
            </w:pPr>
          </w:p>
        </w:tc>
        <w:tc>
          <w:tcPr>
            <w:tcW w:w="11610" w:type="dxa"/>
            <w:tcBorders>
              <w:bottom w:val="single" w:sz="18" w:space="0" w:color="auto"/>
            </w:tcBorders>
          </w:tcPr>
          <w:p w:rsidR="003A5170" w:rsidRPr="003A5170" w:rsidRDefault="009F2D06" w:rsidP="001C5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Focus of Module 1 is to:</w:t>
            </w:r>
          </w:p>
          <w:p w:rsidR="003A5170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1E406B" w:rsidRPr="003A5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routines and rituals for </w:t>
            </w:r>
            <w:r w:rsidR="001E406B" w:rsidRPr="003A5170">
              <w:rPr>
                <w:rFonts w:cstheme="minorHAnsi"/>
              </w:rPr>
              <w:t xml:space="preserve">a readers and writers or ELA workshop.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</w:t>
            </w:r>
            <w:r w:rsidR="003A5170">
              <w:rPr>
                <w:rFonts w:cstheme="minorHAnsi"/>
              </w:rPr>
              <w:t xml:space="preserve"> a</w:t>
            </w:r>
            <w:r w:rsidR="001E406B" w:rsidRPr="003A5170">
              <w:rPr>
                <w:rFonts w:cstheme="minorHAnsi"/>
              </w:rPr>
              <w:t xml:space="preserve"> strong classroom community and supportive culture</w:t>
            </w:r>
            <w:r w:rsidR="003A5170">
              <w:rPr>
                <w:rFonts w:cstheme="minorHAnsi"/>
              </w:rPr>
              <w:t xml:space="preserve">; </w:t>
            </w:r>
            <w:r w:rsidR="001E406B" w:rsidRPr="003A5170">
              <w:rPr>
                <w:rFonts w:cstheme="minorHAnsi"/>
              </w:rPr>
              <w:t xml:space="preserve">essential elements in order for students to trust one another, share their thinking, and take risks with new skills and strategies to accelerate growth. 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3A5170">
              <w:rPr>
                <w:rFonts w:cstheme="minorHAnsi"/>
              </w:rPr>
              <w:t xml:space="preserve">dentify </w:t>
            </w:r>
            <w:r w:rsidR="00DD45C5" w:rsidRPr="003A5170">
              <w:rPr>
                <w:rFonts w:cstheme="minorHAnsi"/>
              </w:rPr>
              <w:t>children’s strengths</w:t>
            </w:r>
            <w:r w:rsidR="001E406B" w:rsidRPr="003A5170">
              <w:rPr>
                <w:rFonts w:cstheme="minorHAnsi"/>
              </w:rPr>
              <w:t xml:space="preserve"> and challenges and set goals</w:t>
            </w:r>
            <w:r w:rsidR="00DD45C5" w:rsidRPr="003A5170">
              <w:rPr>
                <w:rFonts w:cstheme="minorHAnsi"/>
              </w:rPr>
              <w:t xml:space="preserve"> to kick off</w:t>
            </w:r>
            <w:r w:rsidR="001E406B" w:rsidRPr="003A5170">
              <w:rPr>
                <w:rFonts w:cstheme="minorHAnsi"/>
              </w:rPr>
              <w:t xml:space="preserve"> the year long journey of becoming </w:t>
            </w:r>
            <w:r w:rsidR="00DD45C5" w:rsidRPr="003A5170">
              <w:rPr>
                <w:rFonts w:cstheme="minorHAnsi"/>
              </w:rPr>
              <w:t xml:space="preserve">increasingly </w:t>
            </w:r>
            <w:r w:rsidR="001E406B" w:rsidRPr="003A5170">
              <w:rPr>
                <w:rFonts w:cstheme="minorHAnsi"/>
              </w:rPr>
              <w:t xml:space="preserve">literate people. </w:t>
            </w:r>
            <w:r w:rsidR="00DD45C5" w:rsidRPr="003A5170">
              <w:rPr>
                <w:rFonts w:cstheme="minorHAnsi"/>
              </w:rPr>
              <w:t xml:space="preserve">Both district assessments and </w:t>
            </w:r>
            <w:r w:rsidR="00845C7F" w:rsidRPr="003A5170">
              <w:rPr>
                <w:rFonts w:cstheme="minorHAnsi"/>
              </w:rPr>
              <w:t xml:space="preserve">classroom </w:t>
            </w:r>
            <w:r w:rsidR="00DD45C5" w:rsidRPr="003A5170">
              <w:rPr>
                <w:rFonts w:cstheme="minorHAnsi"/>
              </w:rPr>
              <w:t xml:space="preserve">formative reading and writing measures can support the collection of evidence as baseline data to draw from. </w:t>
            </w:r>
            <w:r w:rsidR="00FB7CEB">
              <w:rPr>
                <w:rFonts w:cstheme="minorHAnsi"/>
              </w:rPr>
              <w:t>Both t</w:t>
            </w:r>
            <w:r>
              <w:rPr>
                <w:rFonts w:cstheme="minorHAnsi"/>
              </w:rPr>
              <w:t>eachers and students engage in assessment and goal setting.</w:t>
            </w:r>
          </w:p>
          <w:p w:rsidR="00DD45C5" w:rsidRPr="003A5170" w:rsidRDefault="00DD45C5" w:rsidP="00431C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3A5170">
              <w:rPr>
                <w:rFonts w:cstheme="minorHAnsi"/>
                <w:i/>
              </w:rPr>
              <w:t xml:space="preserve">Ideally teachers will find times to administer assessments while maintaining </w:t>
            </w:r>
            <w:r w:rsidR="007B62D9" w:rsidRPr="003A5170">
              <w:rPr>
                <w:rFonts w:cstheme="minorHAnsi"/>
                <w:i/>
              </w:rPr>
              <w:t xml:space="preserve">established </w:t>
            </w:r>
            <w:r w:rsidR="00845C7F" w:rsidRPr="003A5170">
              <w:rPr>
                <w:rFonts w:cstheme="minorHAnsi"/>
                <w:i/>
              </w:rPr>
              <w:t xml:space="preserve">routines. For example, giving one </w:t>
            </w:r>
            <w:r w:rsidR="003A5170">
              <w:rPr>
                <w:rFonts w:cstheme="minorHAnsi"/>
                <w:i/>
              </w:rPr>
              <w:t>F&amp;P</w:t>
            </w:r>
            <w:r w:rsidR="00845C7F" w:rsidRPr="003A5170">
              <w:rPr>
                <w:rFonts w:cstheme="minorHAnsi"/>
                <w:i/>
              </w:rPr>
              <w:t xml:space="preserve"> assessment a day during an independent reading time, or doing </w:t>
            </w:r>
            <w:proofErr w:type="gramStart"/>
            <w:r w:rsidR="00845C7F" w:rsidRPr="003A5170">
              <w:rPr>
                <w:rFonts w:cstheme="minorHAnsi"/>
                <w:i/>
              </w:rPr>
              <w:t>an on</w:t>
            </w:r>
            <w:proofErr w:type="gramEnd"/>
            <w:r w:rsidR="00845C7F" w:rsidRPr="003A5170">
              <w:rPr>
                <w:rFonts w:cstheme="minorHAnsi"/>
                <w:i/>
              </w:rPr>
              <w:t xml:space="preserve">-demand writing prompt during independent writing time. </w:t>
            </w:r>
          </w:p>
          <w:p w:rsidR="00845C7F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3A5170">
              <w:rPr>
                <w:rFonts w:cstheme="minorHAnsi"/>
              </w:rPr>
              <w:t xml:space="preserve"> </w:t>
            </w:r>
            <w:r w:rsidR="00DD45C5" w:rsidRPr="003A5170">
              <w:rPr>
                <w:rFonts w:cstheme="minorHAnsi"/>
              </w:rPr>
              <w:t xml:space="preserve">Close </w:t>
            </w:r>
            <w:r w:rsidR="00FB7CEB">
              <w:rPr>
                <w:rFonts w:cstheme="minorHAnsi"/>
              </w:rPr>
              <w:t>R</w:t>
            </w:r>
            <w:r w:rsidR="00DD45C5" w:rsidRPr="003A5170">
              <w:rPr>
                <w:rFonts w:cstheme="minorHAnsi"/>
              </w:rPr>
              <w:t>eading routines</w:t>
            </w:r>
            <w:r w:rsidR="003A5170">
              <w:rPr>
                <w:rFonts w:cstheme="minorHAnsi"/>
              </w:rPr>
              <w:t xml:space="preserve"> t</w:t>
            </w:r>
            <w:r w:rsidR="00431C79">
              <w:rPr>
                <w:rFonts w:cstheme="minorHAnsi"/>
              </w:rPr>
              <w:t>hat</w:t>
            </w:r>
            <w:r w:rsidR="003A5170">
              <w:rPr>
                <w:rFonts w:cstheme="minorHAnsi"/>
              </w:rPr>
              <w:t xml:space="preserve"> help</w:t>
            </w:r>
            <w:r w:rsidR="00431C79">
              <w:rPr>
                <w:rFonts w:cstheme="minorHAnsi"/>
              </w:rPr>
              <w:t xml:space="preserve"> all </w:t>
            </w:r>
            <w:r w:rsidR="00FB7CEB">
              <w:rPr>
                <w:rFonts w:cstheme="minorHAnsi"/>
              </w:rPr>
              <w:t>students’</w:t>
            </w:r>
            <w:r w:rsidR="00431C79">
              <w:rPr>
                <w:rFonts w:cstheme="minorHAnsi"/>
              </w:rPr>
              <w:t xml:space="preserve"> access, </w:t>
            </w:r>
            <w:r w:rsidR="00845C7F" w:rsidRPr="003A5170">
              <w:rPr>
                <w:rFonts w:cstheme="minorHAnsi"/>
              </w:rPr>
              <w:t>grapple with</w:t>
            </w:r>
            <w:r w:rsidR="00431C79">
              <w:rPr>
                <w:rFonts w:cstheme="minorHAnsi"/>
              </w:rPr>
              <w:t>, and share their thinking about</w:t>
            </w:r>
            <w:r w:rsidR="00845C7F" w:rsidRPr="003A5170">
              <w:rPr>
                <w:rFonts w:cstheme="minorHAnsi"/>
              </w:rPr>
              <w:t xml:space="preserve"> complex high-interest texts </w:t>
            </w:r>
            <w:r w:rsidR="00FB7CEB">
              <w:rPr>
                <w:rFonts w:cstheme="minorHAnsi"/>
              </w:rPr>
              <w:t xml:space="preserve">after multiple </w:t>
            </w:r>
            <w:r w:rsidR="00884286">
              <w:rPr>
                <w:rFonts w:cstheme="minorHAnsi"/>
              </w:rPr>
              <w:t>interactions with</w:t>
            </w:r>
            <w:r w:rsidR="00845C7F" w:rsidRPr="003A5170">
              <w:rPr>
                <w:rFonts w:cstheme="minorHAnsi"/>
              </w:rPr>
              <w:t xml:space="preserve"> appropriate scaffolds. </w:t>
            </w:r>
          </w:p>
          <w:p w:rsidR="001E406B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7B62D9" w:rsidRPr="003A5170">
              <w:rPr>
                <w:rFonts w:cstheme="minorHAnsi"/>
              </w:rPr>
              <w:t xml:space="preserve"> reading journals, interactive notebooks, and learning logs across subjects as a means of capturing new thinking and growing ideas in short bursts.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126469" w:rsidRDefault="00126469" w:rsidP="001C5E4C">
            <w:pPr>
              <w:rPr>
                <w:rFonts w:cstheme="minorHAnsi"/>
              </w:rPr>
            </w:pP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E406B" w:rsidRPr="00822C2A" w:rsidRDefault="001E406B" w:rsidP="001C5E4C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t>Module 2</w:t>
            </w:r>
          </w:p>
          <w:p w:rsidR="001E406B" w:rsidRDefault="001E406B" w:rsidP="001C5E4C">
            <w:pPr>
              <w:jc w:val="center"/>
              <w:rPr>
                <w:rFonts w:cstheme="minorHAnsi"/>
              </w:rPr>
            </w:pPr>
            <w:r w:rsidRPr="001C5E4C">
              <w:t>“</w:t>
            </w:r>
            <w:r w:rsidRPr="001C5E4C">
              <w:rPr>
                <w:rFonts w:cstheme="minorHAnsi"/>
              </w:rPr>
              <w:t>Developing as critical readers, thinkers, and writers of narrative text”</w:t>
            </w:r>
          </w:p>
          <w:p w:rsidR="00386840" w:rsidRPr="00386840" w:rsidRDefault="00386840" w:rsidP="001C5E4C">
            <w:pPr>
              <w:jc w:val="center"/>
              <w:rPr>
                <w:b/>
              </w:rPr>
            </w:pPr>
            <w:r w:rsidRPr="00386840">
              <w:rPr>
                <w:rFonts w:cstheme="minorHAnsi"/>
                <w:b/>
              </w:rPr>
              <w:t>Module 2 Cont.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9F2D06" w:rsidRPr="009F2D06" w:rsidRDefault="009F2D06" w:rsidP="001C5E4C">
            <w:pPr>
              <w:rPr>
                <w:rFonts w:cstheme="minorHAnsi"/>
                <w:b/>
              </w:rPr>
            </w:pPr>
            <w:r w:rsidRPr="009F2D06">
              <w:rPr>
                <w:rFonts w:cstheme="minorHAnsi"/>
                <w:b/>
              </w:rPr>
              <w:t>The Focus of Module 2 is to</w:t>
            </w:r>
            <w:r w:rsidR="00F80840">
              <w:rPr>
                <w:rFonts w:cstheme="minorHAnsi"/>
                <w:b/>
              </w:rPr>
              <w:t>:</w:t>
            </w:r>
          </w:p>
          <w:p w:rsidR="009F2D06" w:rsidRDefault="00701DD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Use</w:t>
            </w:r>
            <w:r w:rsidRPr="00E75BD5">
              <w:rPr>
                <w:rFonts w:cs="Calibri"/>
              </w:rPr>
              <w:t xml:space="preserve"> stories, fables, and folktales to </w:t>
            </w:r>
            <w:r>
              <w:rPr>
                <w:rFonts w:cs="Calibri"/>
              </w:rPr>
              <w:t>guide</w:t>
            </w:r>
            <w:r w:rsidRPr="00E75BD5">
              <w:rPr>
                <w:rFonts w:cs="Calibri"/>
              </w:rPr>
              <w:t xml:space="preserve"> students as critical readers, thinkers</w:t>
            </w:r>
            <w:r>
              <w:rPr>
                <w:rFonts w:cs="Calibri"/>
              </w:rPr>
              <w:t>, and writers of narrative text and illustrations.</w:t>
            </w:r>
            <w:r w:rsidR="009F2D06">
              <w:rPr>
                <w:rFonts w:cstheme="minorHAnsi"/>
              </w:rPr>
              <w:t xml:space="preserve">  </w:t>
            </w:r>
          </w:p>
          <w:p w:rsidR="00701DD6" w:rsidRPr="00701DD6" w:rsidRDefault="00701DD6" w:rsidP="00701D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C</w:t>
            </w:r>
            <w:r w:rsidRPr="00E75BD5">
              <w:rPr>
                <w:rFonts w:cs="Calibri"/>
              </w:rPr>
              <w:t xml:space="preserve">ompare and contrast </w:t>
            </w:r>
            <w:r>
              <w:rPr>
                <w:rFonts w:cs="Calibri"/>
              </w:rPr>
              <w:t>different versions of similar stories.</w:t>
            </w:r>
          </w:p>
          <w:p w:rsidR="00FB7CEB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1F2D" w:rsidRPr="009F2D06">
              <w:rPr>
                <w:rFonts w:cstheme="minorHAnsi"/>
              </w:rPr>
              <w:t>tudy</w:t>
            </w:r>
            <w:r w:rsidR="00FB7CEB">
              <w:rPr>
                <w:rFonts w:cstheme="minorHAnsi"/>
              </w:rPr>
              <w:t xml:space="preserve"> narrative text structures, plot</w:t>
            </w:r>
            <w:r w:rsidR="00E61104">
              <w:rPr>
                <w:rFonts w:cstheme="minorHAnsi"/>
              </w:rPr>
              <w:t xml:space="preserve"> development</w:t>
            </w:r>
            <w:r w:rsidR="00FB7CEB">
              <w:rPr>
                <w:rFonts w:cstheme="minorHAnsi"/>
              </w:rPr>
              <w:t>, and themes</w:t>
            </w:r>
            <w:r w:rsidR="00E61104">
              <w:rPr>
                <w:rFonts w:cstheme="minorHAnsi"/>
              </w:rPr>
              <w:t xml:space="preserve"> </w:t>
            </w:r>
            <w:r w:rsidR="001E406B" w:rsidRPr="009F2D06">
              <w:rPr>
                <w:rFonts w:cstheme="minorHAnsi"/>
              </w:rPr>
              <w:t>through a variety of narrative genres</w:t>
            </w:r>
            <w:r w:rsidR="00FB7CEB">
              <w:rPr>
                <w:rFonts w:cstheme="minorHAnsi"/>
              </w:rPr>
              <w:t xml:space="preserve"> and Mentor Texts.</w:t>
            </w:r>
          </w:p>
          <w:p w:rsidR="001E406B" w:rsidRPr="00431C79" w:rsidRDefault="00431C79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narrative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  <w:r w:rsidR="004F1F2D" w:rsidRPr="00431C79">
              <w:rPr>
                <w:rFonts w:cstheme="minorHAnsi"/>
              </w:rPr>
              <w:t xml:space="preserve">   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1F2D" w:rsidRPr="009F2D06">
              <w:rPr>
                <w:rFonts w:cstheme="minorHAnsi"/>
              </w:rPr>
              <w:t>rit</w:t>
            </w:r>
            <w:r>
              <w:rPr>
                <w:rFonts w:cstheme="minorHAnsi"/>
              </w:rPr>
              <w:t>e strong narratives u</w:t>
            </w:r>
            <w:r w:rsidR="004F1F2D" w:rsidRPr="009F2D06">
              <w:rPr>
                <w:rFonts w:cstheme="minorHAnsi"/>
              </w:rPr>
              <w:t xml:space="preserve">sing what </w:t>
            </w:r>
            <w:proofErr w:type="spellStart"/>
            <w:r>
              <w:rPr>
                <w:rFonts w:cstheme="minorHAnsi"/>
              </w:rPr>
              <w:t>student’s</w:t>
            </w:r>
            <w:proofErr w:type="spellEnd"/>
            <w:r w:rsidR="004F1F2D" w:rsidRPr="009F2D06">
              <w:rPr>
                <w:rFonts w:cstheme="minorHAnsi"/>
              </w:rPr>
              <w:t xml:space="preserve"> have learned from the </w:t>
            </w:r>
            <w:r w:rsidR="00701DD6">
              <w:rPr>
                <w:rFonts w:cstheme="minorHAnsi"/>
              </w:rPr>
              <w:t>2</w:t>
            </w:r>
            <w:r w:rsidR="00701DD6" w:rsidRPr="00701DD6">
              <w:rPr>
                <w:rFonts w:cstheme="minorHAnsi"/>
                <w:vertAlign w:val="superscript"/>
              </w:rPr>
              <w:t>nd</w:t>
            </w:r>
            <w:r w:rsidR="00701DD6">
              <w:rPr>
                <w:rFonts w:cstheme="minorHAnsi"/>
              </w:rPr>
              <w:t xml:space="preserve"> </w:t>
            </w:r>
            <w:r w:rsidR="004F1F2D" w:rsidRPr="009F2D06">
              <w:rPr>
                <w:rFonts w:cstheme="minorHAnsi"/>
              </w:rPr>
              <w:t xml:space="preserve"> grade </w:t>
            </w:r>
            <w:r w:rsidR="00FB7CEB">
              <w:rPr>
                <w:rFonts w:cstheme="minorHAnsi"/>
              </w:rPr>
              <w:t xml:space="preserve">narrative </w:t>
            </w:r>
            <w:r w:rsidR="004F1F2D" w:rsidRPr="009F2D06">
              <w:rPr>
                <w:rFonts w:cstheme="minorHAnsi"/>
              </w:rPr>
              <w:t xml:space="preserve">Mentor Texts </w:t>
            </w:r>
            <w:r>
              <w:rPr>
                <w:rFonts w:cstheme="minorHAnsi"/>
              </w:rPr>
              <w:t>as</w:t>
            </w:r>
            <w:r w:rsidR="00216124" w:rsidRPr="009F2D06">
              <w:rPr>
                <w:rFonts w:cstheme="minorHAnsi"/>
              </w:rPr>
              <w:t xml:space="preserve"> an anchor for writing from a reader’s p</w:t>
            </w:r>
            <w:r w:rsidR="00FB7CEB">
              <w:rPr>
                <w:rFonts w:cstheme="minorHAnsi"/>
              </w:rPr>
              <w:t>erspective (after reading from a writer’s perspective).</w:t>
            </w:r>
          </w:p>
          <w:p w:rsidR="001E406B" w:rsidRP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16124" w:rsidRPr="009F2D06">
              <w:rPr>
                <w:rFonts w:cstheme="minorHAnsi"/>
              </w:rPr>
              <w:t xml:space="preserve">se </w:t>
            </w:r>
            <w:r w:rsidR="00F80840"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 specific</w:t>
            </w:r>
            <w:r w:rsidR="00F80840">
              <w:rPr>
                <w:rFonts w:cstheme="minorHAnsi"/>
              </w:rPr>
              <w:t xml:space="preserve"> </w:t>
            </w:r>
            <w:r w:rsidR="00216124" w:rsidRPr="009F2D06">
              <w:rPr>
                <w:rFonts w:cstheme="minorHAnsi"/>
              </w:rPr>
              <w:t xml:space="preserve">tools to </w:t>
            </w:r>
            <w:r w:rsidR="006E212E">
              <w:rPr>
                <w:rFonts w:cstheme="minorHAnsi"/>
              </w:rPr>
              <w:t>improve</w:t>
            </w:r>
            <w:r w:rsidR="001E406B" w:rsidRPr="009F2D06">
              <w:rPr>
                <w:rFonts w:cstheme="minorHAnsi"/>
              </w:rPr>
              <w:t xml:space="preserve"> </w:t>
            </w:r>
            <w:r w:rsidR="006E212E">
              <w:rPr>
                <w:rFonts w:cstheme="minorHAnsi"/>
              </w:rPr>
              <w:t xml:space="preserve">revision </w:t>
            </w:r>
            <w:r w:rsidR="00F80840">
              <w:rPr>
                <w:rFonts w:cstheme="minorHAnsi"/>
              </w:rPr>
              <w:t xml:space="preserve">and editing </w:t>
            </w:r>
            <w:r w:rsidR="006E212E">
              <w:rPr>
                <w:rFonts w:cstheme="minorHAnsi"/>
              </w:rPr>
              <w:t>skills.</w:t>
            </w:r>
            <w:r w:rsidR="001E406B" w:rsidRPr="009F2D06">
              <w:rPr>
                <w:rFonts w:cstheme="minorHAnsi"/>
              </w:rPr>
              <w:t xml:space="preserve">  </w:t>
            </w:r>
          </w:p>
          <w:p w:rsidR="001E406B" w:rsidRDefault="006E212E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="00E61104">
              <w:rPr>
                <w:rFonts w:cstheme="minorHAnsi"/>
              </w:rPr>
              <w:t xml:space="preserve"> academic vocabulary in reading </w:t>
            </w:r>
            <w:r w:rsidR="00216124" w:rsidRPr="006E212E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selecting appropriate words </w:t>
            </w:r>
            <w:r w:rsidR="00216124" w:rsidRPr="006E212E">
              <w:rPr>
                <w:rFonts w:cstheme="minorHAnsi"/>
              </w:rPr>
              <w:t xml:space="preserve">in writing </w:t>
            </w:r>
            <w:r>
              <w:rPr>
                <w:rFonts w:cstheme="minorHAnsi"/>
              </w:rPr>
              <w:t>and speaking</w:t>
            </w:r>
            <w:r w:rsidR="00E61104">
              <w:rPr>
                <w:rFonts w:cstheme="minorHAnsi"/>
              </w:rPr>
              <w:t xml:space="preserve"> in reference to narratives.</w:t>
            </w:r>
          </w:p>
          <w:p w:rsidR="00701DD6" w:rsidRPr="00F80840" w:rsidRDefault="00701DD6" w:rsidP="00701DD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A5C95" w:rsidRDefault="00BA5C95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Default="00883BD1" w:rsidP="00E76D09">
            <w:pPr>
              <w:rPr>
                <w:rFonts w:cstheme="minorHAnsi"/>
              </w:rPr>
            </w:pPr>
          </w:p>
          <w:p w:rsidR="00883BD1" w:rsidRPr="00822C2A" w:rsidRDefault="00883BD1" w:rsidP="00E76D09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lastRenderedPageBreak/>
              <w:t>Module 3</w:t>
            </w:r>
          </w:p>
          <w:p w:rsidR="001E406B" w:rsidRDefault="001E406B" w:rsidP="001C5E4C">
            <w:pPr>
              <w:jc w:val="center"/>
            </w:pPr>
            <w:r>
              <w:t>“Learning Through Research”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F80840" w:rsidRDefault="00F80840" w:rsidP="001C5E4C">
            <w:pPr>
              <w:rPr>
                <w:rFonts w:cstheme="minorHAnsi"/>
              </w:rPr>
            </w:pPr>
            <w:r w:rsidRPr="00F80840">
              <w:rPr>
                <w:rFonts w:cstheme="minorHAnsi"/>
                <w:b/>
              </w:rPr>
              <w:t>The Focus of Module 3</w:t>
            </w:r>
            <w:r w:rsidR="001E406B" w:rsidRPr="00F80840">
              <w:rPr>
                <w:rFonts w:cstheme="minorHAnsi"/>
                <w:b/>
              </w:rPr>
              <w:t xml:space="preserve"> is to</w:t>
            </w:r>
            <w:r w:rsidRPr="00F80840">
              <w:rPr>
                <w:rFonts w:cstheme="minorHAnsi"/>
                <w:b/>
              </w:rPr>
              <w:t>:</w:t>
            </w:r>
            <w:r w:rsidR="001E406B" w:rsidRPr="00822C2A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F80840">
              <w:rPr>
                <w:rFonts w:cstheme="minorHAnsi"/>
              </w:rPr>
              <w:t xml:space="preserve">ntroduce students to </w:t>
            </w:r>
            <w:r w:rsidR="00DD4209" w:rsidRPr="00F80840">
              <w:rPr>
                <w:rFonts w:cstheme="minorHAnsi"/>
              </w:rPr>
              <w:t xml:space="preserve">informational structures, genres, and strategies that allow them to better access and communicate information in an intentional way. </w:t>
            </w:r>
          </w:p>
          <w:p w:rsidR="00431C79" w:rsidRDefault="00431C79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informational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</w:p>
          <w:p w:rsid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D4209" w:rsidRPr="00F80840">
              <w:rPr>
                <w:rFonts w:cstheme="minorHAnsi"/>
              </w:rPr>
              <w:t xml:space="preserve">articipate in </w:t>
            </w:r>
            <w:r w:rsidR="001E406B" w:rsidRPr="00F80840">
              <w:rPr>
                <w:rFonts w:cstheme="minorHAnsi"/>
              </w:rPr>
              <w:t xml:space="preserve">research projects that directly build on informational reading skills, as </w:t>
            </w:r>
            <w:r>
              <w:rPr>
                <w:rFonts w:cstheme="minorHAnsi"/>
              </w:rPr>
              <w:t>students</w:t>
            </w:r>
            <w:r w:rsidR="001E406B" w:rsidRPr="00F80840">
              <w:rPr>
                <w:rFonts w:cstheme="minorHAnsi"/>
              </w:rPr>
              <w:t xml:space="preserve"> learn to reference both digital and print sources.  </w:t>
            </w:r>
          </w:p>
          <w:p w:rsidR="001E406B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E406B" w:rsidRPr="00F80840">
              <w:rPr>
                <w:rFonts w:cstheme="minorHAnsi"/>
              </w:rPr>
              <w:t xml:space="preserve">earn best practices for </w:t>
            </w:r>
            <w:r w:rsidR="00A47224">
              <w:rPr>
                <w:rFonts w:cstheme="minorHAnsi"/>
              </w:rPr>
              <w:t>locating</w:t>
            </w:r>
            <w:r w:rsidR="001E406B" w:rsidRPr="00F80840">
              <w:rPr>
                <w:rFonts w:cstheme="minorHAnsi"/>
              </w:rPr>
              <w:t xml:space="preserve"> information, </w:t>
            </w:r>
            <w:r w:rsidR="00A47224">
              <w:rPr>
                <w:rFonts w:cstheme="minorHAnsi"/>
              </w:rPr>
              <w:t xml:space="preserve">note taking, sorting and relaying information. </w:t>
            </w:r>
            <w:r w:rsidR="001E406B" w:rsidRPr="00F80840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0840">
              <w:rPr>
                <w:rFonts w:cstheme="minorHAnsi"/>
              </w:rPr>
              <w:t>W</w:t>
            </w:r>
            <w:r w:rsidR="00DD4209" w:rsidRPr="00F80840">
              <w:rPr>
                <w:rFonts w:cstheme="minorHAnsi"/>
              </w:rPr>
              <w:t>rite informational piece</w:t>
            </w:r>
            <w:r>
              <w:rPr>
                <w:rFonts w:cstheme="minorHAnsi"/>
              </w:rPr>
              <w:t>s</w:t>
            </w:r>
            <w:r w:rsidR="00DD4209" w:rsidRPr="00F80840">
              <w:rPr>
                <w:rFonts w:cstheme="minorHAnsi"/>
              </w:rPr>
              <w:t xml:space="preserve"> drawing from the evidence </w:t>
            </w:r>
            <w:r>
              <w:rPr>
                <w:rFonts w:cstheme="minorHAnsi"/>
              </w:rPr>
              <w:t>students</w:t>
            </w:r>
            <w:r w:rsidR="00DD4209" w:rsidRPr="00F80840">
              <w:rPr>
                <w:rFonts w:cstheme="minorHAnsi"/>
              </w:rPr>
              <w:t xml:space="preserve"> have collected to </w:t>
            </w:r>
            <w:r w:rsidR="00A47224">
              <w:rPr>
                <w:rFonts w:cstheme="minorHAnsi"/>
              </w:rPr>
              <w:t xml:space="preserve">clearly </w:t>
            </w:r>
            <w:r w:rsidR="00DD4209" w:rsidRPr="00F80840">
              <w:rPr>
                <w:rFonts w:cstheme="minorHAnsi"/>
              </w:rPr>
              <w:t xml:space="preserve">communicate information about </w:t>
            </w:r>
            <w:r w:rsidR="00A47224">
              <w:rPr>
                <w:rFonts w:cstheme="minorHAnsi"/>
              </w:rPr>
              <w:t xml:space="preserve">a </w:t>
            </w:r>
            <w:r w:rsidR="00DD4209" w:rsidRPr="00F80840">
              <w:rPr>
                <w:rFonts w:cstheme="minorHAnsi"/>
              </w:rPr>
              <w:t xml:space="preserve">topic in accordance </w:t>
            </w:r>
            <w:r w:rsidR="00A47224">
              <w:rPr>
                <w:rFonts w:cstheme="minorHAnsi"/>
              </w:rPr>
              <w:t>with</w:t>
            </w:r>
            <w:r w:rsidR="00DD4209" w:rsidRPr="00F80840">
              <w:rPr>
                <w:rFonts w:cstheme="minorHAnsi"/>
              </w:rPr>
              <w:t xml:space="preserve"> purpose and audience. </w:t>
            </w:r>
          </w:p>
          <w:p w:rsidR="00A47224" w:rsidRPr="00F80840" w:rsidRDefault="00A47224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transition techniques to provide an appropriate sequence of events or process</w:t>
            </w:r>
            <w:r w:rsidR="00431C79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and to create ease and flow for the reader.</w:t>
            </w:r>
          </w:p>
          <w:p w:rsidR="00F80840" w:rsidRPr="009F2D06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</w:t>
            </w:r>
            <w:r>
              <w:rPr>
                <w:rFonts w:cstheme="minorHAnsi"/>
              </w:rPr>
              <w:t xml:space="preserve">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ED549A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Pr="006E212E">
              <w:rPr>
                <w:rFonts w:cstheme="minorHAnsi"/>
              </w:rPr>
              <w:t xml:space="preserve"> academic vocabulary in reading and </w:t>
            </w:r>
            <w:r>
              <w:rPr>
                <w:rFonts w:cstheme="minorHAnsi"/>
              </w:rPr>
              <w:t xml:space="preserve">selecting appropriate words </w:t>
            </w:r>
            <w:r w:rsidRPr="006E212E">
              <w:rPr>
                <w:rFonts w:cstheme="minorHAnsi"/>
              </w:rPr>
              <w:t xml:space="preserve">in writing </w:t>
            </w:r>
            <w:r w:rsidR="00E61104">
              <w:rPr>
                <w:rFonts w:cstheme="minorHAnsi"/>
              </w:rPr>
              <w:t>and speaking in reference to informational texts.</w:t>
            </w:r>
          </w:p>
          <w:p w:rsidR="001E406B" w:rsidRPr="00822C2A" w:rsidRDefault="001E406B" w:rsidP="001C5E4C">
            <w:pPr>
              <w:rPr>
                <w:rFonts w:cstheme="minorHAnsi"/>
                <w:color w:val="FF0000"/>
              </w:rPr>
            </w:pPr>
          </w:p>
          <w:p w:rsidR="001E406B" w:rsidRDefault="00F80840" w:rsidP="00DD42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A31EB">
              <w:rPr>
                <w:rFonts w:cstheme="minorHAnsi"/>
              </w:rPr>
              <w:t xml:space="preserve">This module lends itself perfectly to partnering with a social studies or science unit. All district designed science, social studies and GLAD </w:t>
            </w:r>
            <w:proofErr w:type="gramStart"/>
            <w:r w:rsidR="00BA31EB">
              <w:rPr>
                <w:rFonts w:cstheme="minorHAnsi"/>
              </w:rPr>
              <w:t>units</w:t>
            </w:r>
            <w:proofErr w:type="gramEnd"/>
            <w:r w:rsidR="00BA31EB">
              <w:rPr>
                <w:rFonts w:cstheme="minorHAnsi"/>
              </w:rPr>
              <w:t xml:space="preserve"> pair content with literacy. </w:t>
            </w:r>
            <w:r>
              <w:rPr>
                <w:rFonts w:cstheme="minorHAnsi"/>
              </w:rPr>
              <w:t>Teachers may need to</w:t>
            </w:r>
            <w:r w:rsidR="00BA31EB">
              <w:rPr>
                <w:rFonts w:cstheme="minorHAnsi"/>
              </w:rPr>
              <w:t xml:space="preserve"> enhance the units </w:t>
            </w:r>
            <w:r>
              <w:rPr>
                <w:rFonts w:cstheme="minorHAnsi"/>
              </w:rPr>
              <w:t>by adding lessons that focus on the</w:t>
            </w:r>
            <w:r w:rsidR="00BA31EB">
              <w:rPr>
                <w:rFonts w:cstheme="minorHAnsi"/>
              </w:rPr>
              <w:t xml:space="preserve"> designated standards for this module.</w:t>
            </w:r>
          </w:p>
          <w:p w:rsidR="00DD4209" w:rsidRPr="00DD4209" w:rsidRDefault="00DD4209" w:rsidP="00DD420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A5C95" w:rsidRPr="00822C2A" w:rsidRDefault="00BA5C95" w:rsidP="00E76D09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</w:tcBorders>
          </w:tcPr>
          <w:p w:rsidR="001E406B" w:rsidRPr="009C4EC9" w:rsidRDefault="001E406B" w:rsidP="001C5E4C">
            <w:pPr>
              <w:jc w:val="center"/>
              <w:rPr>
                <w:b/>
              </w:rPr>
            </w:pPr>
            <w:r w:rsidRPr="009C4EC9">
              <w:rPr>
                <w:b/>
              </w:rPr>
              <w:t>Module 4</w:t>
            </w:r>
          </w:p>
          <w:p w:rsidR="001E406B" w:rsidRDefault="001E406B" w:rsidP="001C5E4C">
            <w:pPr>
              <w:jc w:val="center"/>
            </w:pPr>
            <w:r>
              <w:t>“Forming Positions”</w:t>
            </w:r>
          </w:p>
        </w:tc>
        <w:tc>
          <w:tcPr>
            <w:tcW w:w="11610" w:type="dxa"/>
            <w:tcBorders>
              <w:top w:val="single" w:sz="18" w:space="0" w:color="auto"/>
            </w:tcBorders>
          </w:tcPr>
          <w:p w:rsidR="00BC61C9" w:rsidRPr="00E61104" w:rsidRDefault="00F80840" w:rsidP="001C5E4C">
            <w:pPr>
              <w:rPr>
                <w:rFonts w:cstheme="minorHAnsi"/>
                <w:b/>
              </w:rPr>
            </w:pPr>
            <w:r w:rsidRPr="00E61104">
              <w:rPr>
                <w:rFonts w:cstheme="minorHAnsi"/>
                <w:b/>
              </w:rPr>
              <w:t>The Focus of</w:t>
            </w:r>
            <w:r w:rsidR="001E406B" w:rsidRPr="00E61104">
              <w:rPr>
                <w:rFonts w:cstheme="minorHAnsi"/>
                <w:b/>
              </w:rPr>
              <w:t xml:space="preserve"> </w:t>
            </w:r>
            <w:r w:rsidRPr="00E61104">
              <w:rPr>
                <w:rFonts w:cstheme="minorHAnsi"/>
                <w:b/>
              </w:rPr>
              <w:t>M</w:t>
            </w:r>
            <w:r w:rsidR="001E406B" w:rsidRPr="00E61104">
              <w:rPr>
                <w:rFonts w:cstheme="minorHAnsi"/>
                <w:b/>
              </w:rPr>
              <w:t xml:space="preserve">odule </w:t>
            </w:r>
            <w:r w:rsidR="00BC61C9" w:rsidRPr="00E61104">
              <w:rPr>
                <w:rFonts w:cstheme="minorHAnsi"/>
                <w:b/>
              </w:rPr>
              <w:t xml:space="preserve">4 </w:t>
            </w:r>
            <w:r w:rsidR="001E406B" w:rsidRPr="00E61104">
              <w:rPr>
                <w:rFonts w:cstheme="minorHAnsi"/>
                <w:b/>
              </w:rPr>
              <w:t>is to</w:t>
            </w:r>
            <w:r w:rsidR="00BC61C9" w:rsidRPr="00E61104">
              <w:rPr>
                <w:rFonts w:cstheme="minorHAnsi"/>
                <w:b/>
              </w:rPr>
              <w:t>:</w:t>
            </w:r>
          </w:p>
          <w:p w:rsidR="00943315" w:rsidRDefault="00701DD6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Identify differing points of view in literature</w:t>
            </w:r>
          </w:p>
          <w:p w:rsidR="00F811D4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Determine author’s purpose and describe supporting points in informational text</w:t>
            </w:r>
            <w:r>
              <w:rPr>
                <w:rFonts w:cstheme="minorHAnsi"/>
              </w:rPr>
              <w:t>.</w:t>
            </w:r>
          </w:p>
          <w:p w:rsidR="00BC61C9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F811D4">
              <w:rPr>
                <w:rFonts w:cstheme="minorHAnsi"/>
              </w:rPr>
              <w:t>reasoning to support</w:t>
            </w:r>
            <w:r w:rsidR="000E09F6" w:rsidRPr="00BC61C9">
              <w:rPr>
                <w:rFonts w:cstheme="minorHAnsi"/>
              </w:rPr>
              <w:t xml:space="preserve"> opinions and </w:t>
            </w:r>
            <w:r w:rsidR="001E406B" w:rsidRPr="00BC61C9">
              <w:rPr>
                <w:rFonts w:cstheme="minorHAnsi"/>
              </w:rPr>
              <w:t xml:space="preserve">draw upon both narrative and informational </w:t>
            </w:r>
            <w:r w:rsidR="000E09F6" w:rsidRPr="00BC61C9">
              <w:rPr>
                <w:rFonts w:cstheme="minorHAnsi"/>
              </w:rPr>
              <w:t>sources</w:t>
            </w:r>
            <w:r w:rsidR="001E406B" w:rsidRPr="00BC61C9">
              <w:rPr>
                <w:rFonts w:cstheme="minorHAnsi"/>
              </w:rPr>
              <w:t xml:space="preserve"> </w:t>
            </w:r>
            <w:r w:rsidR="000E09F6" w:rsidRPr="00BC61C9">
              <w:rPr>
                <w:rFonts w:cstheme="minorHAnsi"/>
              </w:rPr>
              <w:t>to support their positions</w:t>
            </w:r>
            <w:r w:rsidR="001E406B" w:rsidRPr="00BC61C9">
              <w:rPr>
                <w:rFonts w:cstheme="minorHAnsi"/>
              </w:rPr>
              <w:t xml:space="preserve">.  </w:t>
            </w:r>
          </w:p>
          <w:p w:rsidR="00BC61C9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Support students in formulating their own opinion on a selected topic, support their thinking using evidence from text, and present opinion in paragraph form.</w:t>
            </w:r>
          </w:p>
          <w:p w:rsidR="00F811D4" w:rsidRDefault="00A4722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 xml:space="preserve">peer and teacher feedback and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0E09F6" w:rsidRPr="00F811D4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811D4">
              <w:rPr>
                <w:rFonts w:cstheme="minorHAnsi"/>
              </w:rPr>
              <w:t>Understand r</w:t>
            </w:r>
            <w:r w:rsidR="000E09F6" w:rsidRPr="00F811D4">
              <w:rPr>
                <w:rFonts w:cstheme="minorHAnsi"/>
              </w:rPr>
              <w:t xml:space="preserve">eading, writing, speaking, and listening play equal roles in laying the foundation for argumentation. </w:t>
            </w:r>
          </w:p>
          <w:p w:rsidR="000E09F6" w:rsidRDefault="000E09F6" w:rsidP="001C5E4C">
            <w:pPr>
              <w:rPr>
                <w:rFonts w:cstheme="minorHAnsi"/>
              </w:rPr>
            </w:pPr>
          </w:p>
          <w:p w:rsidR="00701DD6" w:rsidRDefault="00BC61C9" w:rsidP="000E09F6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E09F6">
              <w:rPr>
                <w:rFonts w:cstheme="minorHAnsi"/>
              </w:rPr>
              <w:t xml:space="preserve">Again the teacher may want to pair at least one cycle of this module with a science, social studies, or GLAD unit giving students an opportunity to use what they have learned about a topic to take a stand on an issue directly related to it.  </w:t>
            </w:r>
          </w:p>
          <w:p w:rsidR="00701DD6" w:rsidRDefault="00701DD6" w:rsidP="000E09F6">
            <w:pPr>
              <w:rPr>
                <w:rFonts w:cstheme="minorHAnsi"/>
              </w:rPr>
            </w:pPr>
          </w:p>
          <w:p w:rsidR="001E406B" w:rsidRPr="00701DD6" w:rsidRDefault="001E406B" w:rsidP="00F811D4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BA5C95" w:rsidRDefault="00BA5C95" w:rsidP="001C5E4C">
            <w:pPr>
              <w:rPr>
                <w:rFonts w:cstheme="minorHAnsi"/>
              </w:rPr>
            </w:pPr>
          </w:p>
          <w:p w:rsidR="00883BD1" w:rsidRDefault="00883BD1" w:rsidP="001C5E4C">
            <w:pPr>
              <w:rPr>
                <w:rFonts w:cstheme="minorHAnsi"/>
              </w:rPr>
            </w:pPr>
          </w:p>
          <w:p w:rsidR="00883BD1" w:rsidRDefault="00883BD1" w:rsidP="001C5E4C">
            <w:pPr>
              <w:rPr>
                <w:rFonts w:cstheme="minorHAnsi"/>
              </w:rPr>
            </w:pPr>
          </w:p>
          <w:p w:rsidR="00883BD1" w:rsidRPr="00822C2A" w:rsidRDefault="00883BD1" w:rsidP="001C5E4C">
            <w:pPr>
              <w:rPr>
                <w:rFonts w:cstheme="minorHAnsi"/>
              </w:rPr>
            </w:pPr>
          </w:p>
        </w:tc>
      </w:tr>
    </w:tbl>
    <w:p w:rsidR="001C5E4C" w:rsidRDefault="001C5E4C" w:rsidP="001C5E4C">
      <w:pPr>
        <w:jc w:val="center"/>
      </w:pPr>
    </w:p>
    <w:p w:rsidR="00883BD1" w:rsidRDefault="00883BD1" w:rsidP="001C5E4C">
      <w:pPr>
        <w:jc w:val="center"/>
      </w:pPr>
    </w:p>
    <w:p w:rsidR="00883BD1" w:rsidRDefault="00883BD1" w:rsidP="001C5E4C">
      <w:pPr>
        <w:jc w:val="center"/>
      </w:pPr>
    </w:p>
    <w:p w:rsidR="00883BD1" w:rsidRDefault="00883BD1" w:rsidP="001C5E4C">
      <w:pPr>
        <w:jc w:val="center"/>
      </w:pPr>
      <w:bookmarkStart w:id="0" w:name="_GoBack"/>
      <w:bookmarkEnd w:id="0"/>
    </w:p>
    <w:p w:rsidR="0006559F" w:rsidRPr="00386840" w:rsidRDefault="00737885" w:rsidP="0076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</w:t>
      </w:r>
      <w:r w:rsidR="0006559F" w:rsidRPr="00386840">
        <w:rPr>
          <w:b/>
          <w:sz w:val="28"/>
          <w:szCs w:val="28"/>
        </w:rPr>
        <w:t xml:space="preserve"> Grade Module </w:t>
      </w:r>
      <w:r w:rsidR="006E0BDF">
        <w:rPr>
          <w:b/>
          <w:sz w:val="28"/>
          <w:szCs w:val="28"/>
        </w:rPr>
        <w:t xml:space="preserve">Proposed </w:t>
      </w:r>
      <w:r w:rsidR="002608DB">
        <w:rPr>
          <w:b/>
          <w:sz w:val="28"/>
          <w:szCs w:val="28"/>
        </w:rPr>
        <w:t xml:space="preserve">Focus </w:t>
      </w:r>
      <w:r w:rsidR="0006559F" w:rsidRPr="00386840">
        <w:rPr>
          <w:b/>
          <w:sz w:val="28"/>
          <w:szCs w:val="28"/>
        </w:rPr>
        <w:t>Standards Chart</w:t>
      </w:r>
    </w:p>
    <w:p w:rsidR="0006559F" w:rsidRDefault="0006559F" w:rsidP="00386840">
      <w:pPr>
        <w:pStyle w:val="NoSpacing"/>
      </w:pPr>
      <w:r>
        <w:t>Modules 2, 3, and 4 do not separate standards into cycle 1 and 2 as these standards are simply repeated at a more sophisticated level in the second cycle.</w:t>
      </w:r>
    </w:p>
    <w:p w:rsidR="00386840" w:rsidRDefault="00386840" w:rsidP="003868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7615"/>
        <w:gridCol w:w="1160"/>
        <w:gridCol w:w="1160"/>
        <w:gridCol w:w="1160"/>
        <w:gridCol w:w="1160"/>
        <w:gridCol w:w="1336"/>
      </w:tblGrid>
      <w:tr w:rsidR="00386840" w:rsidTr="00386840">
        <w:tc>
          <w:tcPr>
            <w:tcW w:w="1025" w:type="dxa"/>
            <w:vMerge w:val="restart"/>
          </w:tcPr>
          <w:p w:rsidR="00386840" w:rsidRDefault="00386840" w:rsidP="0006559F"/>
        </w:tc>
        <w:tc>
          <w:tcPr>
            <w:tcW w:w="7615" w:type="dxa"/>
            <w:vMerge w:val="restart"/>
            <w:vAlign w:val="center"/>
          </w:tcPr>
          <w:p w:rsidR="00386840" w:rsidRPr="00386840" w:rsidRDefault="00386840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386840" w:rsidRPr="00386840" w:rsidRDefault="00386840" w:rsidP="0006559F">
            <w:r w:rsidRPr="00386840">
              <w:t>Once a standard is a “focus” it may be practiced or review</w:t>
            </w:r>
            <w:r>
              <w:t xml:space="preserve">ed </w:t>
            </w:r>
            <w:r w:rsidRPr="00386840">
              <w:t xml:space="preserve"> in appropriate following modules</w:t>
            </w:r>
          </w:p>
        </w:tc>
      </w:tr>
      <w:tr w:rsidR="00386840" w:rsidTr="00312704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6840" w:rsidRDefault="00386840" w:rsidP="0006559F"/>
        </w:tc>
        <w:tc>
          <w:tcPr>
            <w:tcW w:w="7615" w:type="dxa"/>
            <w:vMerge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312704">
        <w:tc>
          <w:tcPr>
            <w:tcW w:w="1025" w:type="dxa"/>
            <w:vMerge w:val="restart"/>
            <w:shd w:val="pct5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Literature</w:t>
            </w:r>
          </w:p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  <w:highlight w:val="yellow"/>
              </w:rPr>
            </w:pPr>
            <w:r w:rsidRPr="00293AC1">
              <w:rPr>
                <w:rFonts w:cs="Arial"/>
                <w:highlight w:val="yellow"/>
              </w:rPr>
              <w:t xml:space="preserve">℗2.RL.1     </w:t>
            </w:r>
            <w:r w:rsidRPr="00293AC1">
              <w:rPr>
                <w:highlight w:val="yellow"/>
              </w:rPr>
              <w:t xml:space="preserve">Ask and answer such questions as </w:t>
            </w:r>
            <w:r w:rsidRPr="00293AC1">
              <w:rPr>
                <w:i/>
                <w:highlight w:val="yellow"/>
              </w:rPr>
              <w:t>who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what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where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when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why</w:t>
            </w:r>
            <w:r w:rsidRPr="00293AC1">
              <w:rPr>
                <w:highlight w:val="yellow"/>
              </w:rPr>
              <w:t xml:space="preserve">, and </w:t>
            </w:r>
            <w:r w:rsidRPr="00293AC1">
              <w:rPr>
                <w:i/>
                <w:highlight w:val="yellow"/>
              </w:rPr>
              <w:t>how</w:t>
            </w:r>
            <w:r w:rsidRPr="00293AC1">
              <w:rPr>
                <w:highlight w:val="yellow"/>
              </w:rPr>
              <w:t xml:space="preserve"> to demonstrate understanding of key details in a text</w:t>
            </w:r>
            <w:r w:rsidRPr="00293AC1">
              <w:rPr>
                <w:rFonts w:cs="Arial"/>
                <w:highlight w:val="yellow"/>
              </w:rPr>
              <w:t>.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</w:rPr>
            </w:pPr>
            <w:r w:rsidRPr="00293AC1">
              <w:rPr>
                <w:rFonts w:cs="Arial"/>
                <w:highlight w:val="yellow"/>
              </w:rPr>
              <w:t xml:space="preserve">℗2.RL.2     </w:t>
            </w:r>
            <w:r w:rsidRPr="00293AC1">
              <w:rPr>
                <w:highlight w:val="yellow"/>
              </w:rPr>
              <w:t>Recount stories, including fables and folktales from diverse cultures, and determine their central message, lesson, or moral</w:t>
            </w:r>
            <w:r w:rsidRPr="00293AC1">
              <w:rPr>
                <w:rFonts w:cs="Arial"/>
              </w:rPr>
              <w:t>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2608DB">
        <w:trPr>
          <w:trHeight w:val="530"/>
        </w:trPr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ascii="Calibri" w:eastAsia="Times New Roman" w:hAnsi="Calibri" w:cs="Arial"/>
              </w:rPr>
            </w:pPr>
            <w:r w:rsidRPr="00817096">
              <w:rPr>
                <w:rFonts w:ascii="Calibri" w:eastAsia="Times New Roman" w:hAnsi="Calibri" w:cs="Arial"/>
              </w:rPr>
              <w:t>2. RL.3</w:t>
            </w:r>
            <w:r w:rsidRPr="00817096">
              <w:rPr>
                <w:rFonts w:ascii="Calibri" w:eastAsia="Times New Roman" w:hAnsi="Calibri" w:cs="Arial"/>
              </w:rPr>
              <w:tab/>
              <w:t>Describe how characters in a story respond to major events and challenges.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817096" w:rsidP="00817096">
            <w:pPr>
              <w:pStyle w:val="NoSpacing"/>
            </w:pPr>
            <w:r w:rsidRPr="005B63E3">
              <w:rPr>
                <w:rFonts w:ascii="Calibri" w:eastAsia="Times New Roman" w:hAnsi="Calibri" w:cs="Arial"/>
              </w:rPr>
              <w:t>2. RL.4</w:t>
            </w:r>
            <w:r w:rsidRPr="005B63E3">
              <w:rPr>
                <w:rFonts w:ascii="Calibri" w:eastAsia="Times New Roman" w:hAnsi="Calibri" w:cs="Arial"/>
              </w:rPr>
              <w:tab/>
              <w:t>Describe how words and phrases (e.g., regular beats, alliteration, rhymes, repeated lines) supply rhythm and meaning in a story, poem, or song.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RL.5</w:t>
            </w:r>
            <w:r w:rsidRPr="002608DB">
              <w:rPr>
                <w:rFonts w:ascii="Calibri" w:eastAsia="Times New Roman" w:hAnsi="Calibri" w:cs="Arial"/>
              </w:rPr>
              <w:tab/>
              <w:t>Describe the overall structure of a story, including describing how the beginning introduces the story and the ending concludes the action.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0C306B">
              <w:rPr>
                <w:rFonts w:ascii="Calibri" w:eastAsia="Times New Roman" w:hAnsi="Calibri" w:cs="Arial"/>
              </w:rPr>
              <w:t xml:space="preserve">2. </w:t>
            </w:r>
            <w:r w:rsidR="006E0BDF" w:rsidRPr="000C306B">
              <w:rPr>
                <w:rFonts w:ascii="Calibri" w:eastAsia="Times New Roman" w:hAnsi="Calibri" w:cs="Arial"/>
              </w:rPr>
              <w:t>RL.6</w:t>
            </w:r>
            <w:r w:rsidR="006E0BDF">
              <w:rPr>
                <w:rFonts w:ascii="Calibri" w:eastAsia="Times New Roman" w:hAnsi="Calibri" w:cs="Arial"/>
              </w:rPr>
              <w:t xml:space="preserve"> Acknowledge</w:t>
            </w:r>
            <w:r w:rsidRPr="000C306B">
              <w:rPr>
                <w:rFonts w:ascii="Calibri" w:eastAsia="Times New Roman" w:hAnsi="Calibri" w:cs="Arial"/>
              </w:rPr>
              <w:t xml:space="preserve"> differences in the points of view of characters, including by speaking in a different voice for each character when reading dialogue aloud.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RL.7</w:t>
            </w:r>
            <w:r w:rsidRPr="002608DB">
              <w:rPr>
                <w:rFonts w:ascii="Calibri" w:eastAsia="Times New Roman" w:hAnsi="Calibri" w:cs="Arial"/>
              </w:rPr>
              <w:tab/>
              <w:t>Use information gained from the illustrations and words in a print or digital text to demonstrate understanding of its characters, setting, or plot.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5F01A3" w:rsidTr="00143950">
        <w:tc>
          <w:tcPr>
            <w:tcW w:w="1025" w:type="dxa"/>
            <w:vMerge/>
            <w:shd w:val="pct5" w:color="auto" w:fill="auto"/>
          </w:tcPr>
          <w:p w:rsidR="005F01A3" w:rsidRDefault="005F01A3" w:rsidP="0006559F"/>
        </w:tc>
        <w:tc>
          <w:tcPr>
            <w:tcW w:w="7615" w:type="dxa"/>
            <w:shd w:val="pct5" w:color="auto" w:fill="auto"/>
          </w:tcPr>
          <w:p w:rsidR="005F01A3" w:rsidRDefault="00817096" w:rsidP="0006559F">
            <w:r>
              <w:t>2. RL.8 N/A to literature</w:t>
            </w:r>
          </w:p>
        </w:tc>
        <w:tc>
          <w:tcPr>
            <w:tcW w:w="5976" w:type="dxa"/>
            <w:gridSpan w:val="5"/>
            <w:shd w:val="pct5" w:color="auto" w:fill="auto"/>
          </w:tcPr>
          <w:p w:rsidR="005F01A3" w:rsidRDefault="005F01A3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817096" w:rsidP="0006559F">
            <w:r w:rsidRPr="00293AC1">
              <w:rPr>
                <w:rFonts w:ascii="Calibri" w:eastAsia="Times New Roman" w:hAnsi="Calibri" w:cs="Arial"/>
                <w:highlight w:val="yellow"/>
              </w:rPr>
              <w:t xml:space="preserve">℗2.RL.9    </w:t>
            </w:r>
            <w:r w:rsidRPr="00293AC1">
              <w:rPr>
                <w:rFonts w:ascii="Calibri" w:eastAsia="Times New Roman" w:hAnsi="Calibri" w:cs="Times New Roman"/>
                <w:highlight w:val="yellow"/>
              </w:rPr>
              <w:t>Compare and contrast two or more versions of the same story (e.g., Cinderella stories) by different authors or from different cultures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</w:tr>
      <w:tr w:rsidR="00312704" w:rsidTr="00312704">
        <w:tc>
          <w:tcPr>
            <w:tcW w:w="102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12704" w:rsidRDefault="00312704" w:rsidP="0006559F"/>
        </w:tc>
        <w:tc>
          <w:tcPr>
            <w:tcW w:w="7615" w:type="dxa"/>
            <w:tcBorders>
              <w:bottom w:val="double" w:sz="4" w:space="0" w:color="auto"/>
            </w:tcBorders>
            <w:shd w:val="pct5" w:color="auto" w:fill="auto"/>
          </w:tcPr>
          <w:p w:rsidR="00312704" w:rsidRDefault="00817096" w:rsidP="00817096">
            <w:r w:rsidRPr="005B63E3">
              <w:rPr>
                <w:rFonts w:ascii="Calibri" w:eastAsia="Times New Roman" w:hAnsi="Calibri" w:cs="Arial"/>
              </w:rPr>
              <w:t>2. RL.10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B63E3">
              <w:rPr>
                <w:rFonts w:ascii="Calibri" w:eastAsia="Times New Roman" w:hAnsi="Calibri" w:cs="Arial"/>
              </w:rPr>
              <w:t xml:space="preserve">By the end of the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</w:t>
            </w:r>
            <w:r>
              <w:rPr>
                <w:rFonts w:ascii="Calibri" w:eastAsia="Times New Roman" w:hAnsi="Calibri" w:cs="Arial"/>
              </w:rPr>
              <w:t>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literature, including stories and poetry,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312704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 w:val="restart"/>
            <w:shd w:val="pct10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Informational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10" w:color="auto" w:fill="auto"/>
          </w:tcPr>
          <w:p w:rsidR="0006559F" w:rsidRPr="002608DB" w:rsidRDefault="002608DB" w:rsidP="002608D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eastAsia="Times New Roman" w:hAnsi="Calibri" w:cs="Arial"/>
                <w:highlight w:val="yellow"/>
              </w:rPr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℗2.RI.1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Ask and answer such questions as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who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what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where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when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why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and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how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 to demonstrate understanding of key details in a text.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336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2608DB" w:rsidP="0006559F">
            <w:r>
              <w:rPr>
                <w:rFonts w:ascii="Calibri" w:eastAsia="Times New Roman" w:hAnsi="Calibri" w:cs="Arial"/>
                <w:highlight w:val="yellow"/>
              </w:rPr>
              <w:t xml:space="preserve">℗2.RI.2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Identify the main topic of a multi-paragraph text as well as the focus of specific paragraphs within the text.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rPr>
          <w:trHeight w:val="593"/>
        </w:trPr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RI.3   </w:t>
            </w:r>
            <w:r w:rsidRPr="002608DB">
              <w:rPr>
                <w:rFonts w:ascii="Calibri" w:eastAsia="Times New Roman" w:hAnsi="Calibri" w:cs="Arial"/>
              </w:rPr>
              <w:t>Describe the connection between a series of historical events, scientific ideas or concepts, or steps in technical procedures in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C33497" w:rsidRDefault="002608DB" w:rsidP="00C3349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</w:rPr>
              <w:t xml:space="preserve">2. RI.4 </w:t>
            </w:r>
            <w:r w:rsidRPr="005B63E3">
              <w:rPr>
                <w:rFonts w:ascii="Calibri" w:eastAsia="Times New Roman" w:hAnsi="Calibri" w:cs="Arial"/>
              </w:rPr>
              <w:t xml:space="preserve">Determine the meaning of words and phrases in a text relevant to a </w:t>
            </w:r>
            <w:r w:rsidRPr="005B63E3">
              <w:rPr>
                <w:rFonts w:ascii="Calibri" w:eastAsia="Times New Roman" w:hAnsi="Calibri" w:cs="Arial"/>
                <w:i/>
              </w:rPr>
              <w:t xml:space="preserve">grade 2 </w:t>
            </w:r>
            <w:proofErr w:type="gramStart"/>
            <w:r w:rsidRPr="005B63E3">
              <w:rPr>
                <w:rFonts w:ascii="Calibri" w:eastAsia="Times New Roman" w:hAnsi="Calibri" w:cs="Arial"/>
                <w:i/>
              </w:rPr>
              <w:t>topic</w:t>
            </w:r>
            <w:proofErr w:type="gramEnd"/>
            <w:r w:rsidRPr="005B63E3">
              <w:rPr>
                <w:rFonts w:ascii="Calibri" w:eastAsia="Times New Roman" w:hAnsi="Calibri" w:cs="Arial"/>
                <w:i/>
              </w:rPr>
              <w:t xml:space="preserve"> or subject area</w:t>
            </w:r>
            <w:r w:rsidRPr="005B63E3">
              <w:rPr>
                <w:rFonts w:ascii="Calibri" w:eastAsia="Times New Roman" w:hAnsi="Calibri" w:cs="Arial"/>
              </w:rPr>
              <w:t>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  <w:vAlign w:val="center"/>
          </w:tcPr>
          <w:p w:rsidR="0006559F" w:rsidRDefault="002608DB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left="45" w:right="446" w:hanging="45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℗2.RI.5</w:t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3A3B81">
              <w:rPr>
                <w:rFonts w:ascii="Calibri" w:eastAsia="Times New Roman" w:hAnsi="Calibri" w:cs="Calibri"/>
                <w:highlight w:val="yellow"/>
              </w:rPr>
              <w:t>Know and use various text features (e.g., captions, bold print, subheadings, glossaries, inde</w:t>
            </w:r>
            <w:r w:rsidRPr="003A3B81">
              <w:rPr>
                <w:rFonts w:ascii="Calibri" w:eastAsia="Times New Roman" w:hAnsi="Calibri" w:cs="Minion-Regular"/>
                <w:highlight w:val="yellow"/>
              </w:rPr>
              <w:t>xes, electronic menus, icons) to locate key facts or information in a text efficiently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6E0BDF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2. RI.6 Identify</w:t>
            </w:r>
            <w:r w:rsidRPr="002608DB">
              <w:rPr>
                <w:rFonts w:ascii="Calibri" w:eastAsia="Times New Roman" w:hAnsi="Calibri" w:cs="Arial"/>
              </w:rPr>
              <w:t xml:space="preserve"> the main purpose of a text, including what the author wants to answer, explain, or describe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6E0BDF">
            <w:pPr>
              <w:jc w:val="center"/>
            </w:pP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shd w:val="pct10" w:color="auto" w:fill="auto"/>
            <w:vAlign w:val="center"/>
          </w:tcPr>
          <w:p w:rsidR="0006559F" w:rsidRDefault="006E0BDF" w:rsidP="006E0BDF">
            <w:pPr>
              <w:jc w:val="center"/>
            </w:pPr>
            <w:r>
              <w:t>X</w:t>
            </w:r>
          </w:p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RI.7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2608DB">
              <w:rPr>
                <w:rFonts w:ascii="Calibri" w:eastAsia="Times New Roman" w:hAnsi="Calibri" w:cs="Arial"/>
              </w:rPr>
              <w:t>Explain how specific images (e.g., a diagram showing how a machine works) contribute to and clarify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RI.8 </w:t>
            </w:r>
            <w:r w:rsidRPr="002608DB">
              <w:rPr>
                <w:rFonts w:ascii="Calibri" w:eastAsia="Times New Roman" w:hAnsi="Calibri" w:cs="Arial"/>
              </w:rPr>
              <w:t>Describe how reasons support specific points the author makes in a text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4328DC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10" w:color="auto" w:fill="auto"/>
          </w:tcPr>
          <w:p w:rsidR="0006559F" w:rsidRPr="004328DC" w:rsidRDefault="004328DC" w:rsidP="004328DC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right="446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℗2.RI.9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>
              <w:rPr>
                <w:rFonts w:ascii="Calibri" w:eastAsia="Times New Roman" w:hAnsi="Calibri" w:cs="Times New Roman"/>
                <w:highlight w:val="yellow"/>
              </w:rPr>
              <w:t xml:space="preserve">Compare and contrast </w:t>
            </w:r>
            <w:r w:rsidRPr="003A3B81">
              <w:rPr>
                <w:rFonts w:ascii="Calibri" w:eastAsia="Times New Roman" w:hAnsi="Calibri" w:cs="Times New Roman"/>
                <w:highlight w:val="yellow"/>
              </w:rPr>
              <w:t>the most important points presented by two texts on the same topic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2152D6" w:rsidTr="002152D6">
        <w:tc>
          <w:tcPr>
            <w:tcW w:w="1025" w:type="dxa"/>
            <w:vMerge/>
            <w:shd w:val="pct10" w:color="auto" w:fill="auto"/>
          </w:tcPr>
          <w:p w:rsidR="002152D6" w:rsidRDefault="002152D6" w:rsidP="0006559F"/>
        </w:tc>
        <w:tc>
          <w:tcPr>
            <w:tcW w:w="7615" w:type="dxa"/>
            <w:tcBorders>
              <w:bottom w:val="double" w:sz="4" w:space="0" w:color="auto"/>
            </w:tcBorders>
            <w:shd w:val="pct10" w:color="auto" w:fill="auto"/>
          </w:tcPr>
          <w:p w:rsidR="002152D6" w:rsidRDefault="004328DC" w:rsidP="0006559F">
            <w:r w:rsidRPr="005B63E3">
              <w:rPr>
                <w:rFonts w:ascii="Calibri" w:eastAsia="Times New Roman" w:hAnsi="Calibri" w:cs="Arial"/>
              </w:rPr>
              <w:t>2. RI.10</w:t>
            </w:r>
            <w:r w:rsidRPr="005B63E3">
              <w:rPr>
                <w:rFonts w:ascii="Calibri" w:eastAsia="Times New Roman" w:hAnsi="Calibri" w:cs="Arial"/>
              </w:rPr>
              <w:tab/>
              <w:t xml:space="preserve">By the end of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informational texts, including history/social studies, science, and technical texts,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2152D6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C33497">
            <w:pPr>
              <w:jc w:val="center"/>
            </w:pPr>
            <w:r>
              <w:t>X</w:t>
            </w:r>
          </w:p>
        </w:tc>
      </w:tr>
      <w:tr w:rsidR="00312704" w:rsidTr="00312704">
        <w:tc>
          <w:tcPr>
            <w:tcW w:w="1025" w:type="dxa"/>
            <w:vMerge w:val="restart"/>
            <w:shd w:val="pct15" w:color="auto" w:fill="auto"/>
            <w:vAlign w:val="center"/>
          </w:tcPr>
          <w:p w:rsid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B240D4" w:rsidRP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</w:t>
            </w:r>
          </w:p>
        </w:tc>
        <w:tc>
          <w:tcPr>
            <w:tcW w:w="761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℗2.RF.3 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>Know and apply grade-level phonics and word analysis skills in decoding words.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15" w:color="auto" w:fill="auto"/>
          </w:tcPr>
          <w:p w:rsidR="00B240D4" w:rsidRDefault="00B240D4" w:rsidP="0006559F"/>
        </w:tc>
        <w:tc>
          <w:tcPr>
            <w:tcW w:w="7615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℗2.RF.4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Read with sufficient accuracy and fluency to support comprehension.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 w:val="restart"/>
            <w:shd w:val="pct2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20" w:color="auto" w:fill="auto"/>
          </w:tcPr>
          <w:p w:rsidR="00B240D4" w:rsidRPr="004328DC" w:rsidRDefault="004328DC" w:rsidP="004328DC">
            <w:pPr>
              <w:spacing w:line="276" w:lineRule="auto"/>
              <w:rPr>
                <w:rFonts w:cstheme="minorHAnsi"/>
              </w:rPr>
            </w:pPr>
            <w:r w:rsidRPr="000C306B">
              <w:rPr>
                <w:rFonts w:ascii="Calibri" w:eastAsia="Times New Roman" w:hAnsi="Calibri" w:cs="Arial"/>
                <w:highlight w:val="yellow"/>
              </w:rPr>
              <w:t>℗2.W.1</w:t>
            </w:r>
            <w:r w:rsidRPr="000C306B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0C306B">
              <w:rPr>
                <w:rFonts w:ascii="Calibri" w:eastAsia="Times New Roman" w:hAnsi="Calibri" w:cs="Times New Roman"/>
                <w:highlight w:val="yellow"/>
              </w:rPr>
              <w:t>Write opinion pieces in which they i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ntroduce the topic or book they are writing about, state an opinion, supply reasons that support the opinion, use linking words (e.g.,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because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,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 xml:space="preserve"> and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also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) to connect opinion and reasons, and provide a concluding statement or section.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tabs>
                <w:tab w:val="left" w:pos="1170"/>
              </w:tabs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</w:rPr>
            </w:pPr>
            <w:r w:rsidRPr="003A3B81">
              <w:rPr>
                <w:rFonts w:ascii="Calibri" w:eastAsia="Calibri" w:hAnsi="Calibri" w:cs="Calibri"/>
                <w:highlight w:val="yellow"/>
              </w:rPr>
              <w:t>℗</w:t>
            </w:r>
            <w:r>
              <w:rPr>
                <w:rFonts w:ascii="Calibri" w:eastAsia="Calibri" w:hAnsi="Calibri" w:cs="Calibri"/>
                <w:highlight w:val="yellow"/>
              </w:rPr>
              <w:t xml:space="preserve">2.W.2   </w:t>
            </w:r>
            <w:r w:rsidRPr="003A3B81">
              <w:rPr>
                <w:rFonts w:ascii="Calibri" w:eastAsia="Calibri" w:hAnsi="Calibri" w:cs="Calibri"/>
                <w:highlight w:val="yellow"/>
              </w:rPr>
              <w:t>Write informative/explanatory texts in which they introduce a topic, use facts and definitions to develop points, and provide a concluding statement or section.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4328DC" w:rsidP="006E0BDF">
            <w:pPr>
              <w:spacing w:line="276" w:lineRule="auto"/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="006E0BDF" w:rsidRPr="00293AC1">
              <w:rPr>
                <w:rFonts w:ascii="Calibri" w:eastAsia="Times New Roman" w:hAnsi="Calibri" w:cs="Arial"/>
                <w:highlight w:val="yellow"/>
              </w:rPr>
              <w:t>2.W.3</w:t>
            </w:r>
            <w:r w:rsidR="006E0BDF">
              <w:rPr>
                <w:rFonts w:ascii="Calibri" w:eastAsia="Times New Roman" w:hAnsi="Calibri" w:cs="Arial"/>
                <w:highlight w:val="yellow"/>
              </w:rPr>
              <w:t xml:space="preserve"> Write narratives,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 xml:space="preserve">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4328DC" w:rsidTr="00C54B45">
        <w:tc>
          <w:tcPr>
            <w:tcW w:w="1025" w:type="dxa"/>
            <w:vMerge/>
            <w:shd w:val="pct20" w:color="auto" w:fill="auto"/>
          </w:tcPr>
          <w:p w:rsidR="004328DC" w:rsidRDefault="004328DC" w:rsidP="0006559F"/>
        </w:tc>
        <w:tc>
          <w:tcPr>
            <w:tcW w:w="7615" w:type="dxa"/>
            <w:shd w:val="pct20" w:color="auto" w:fill="auto"/>
          </w:tcPr>
          <w:p w:rsidR="004328DC" w:rsidRDefault="004328DC" w:rsidP="00B5054B">
            <w:r>
              <w:t xml:space="preserve">2.W.4 Begins in </w:t>
            </w:r>
            <w:r w:rsidR="00B5054B">
              <w:t>3rd</w:t>
            </w:r>
          </w:p>
        </w:tc>
        <w:tc>
          <w:tcPr>
            <w:tcW w:w="5976" w:type="dxa"/>
            <w:gridSpan w:val="5"/>
            <w:shd w:val="pct20" w:color="auto" w:fill="auto"/>
            <w:vAlign w:val="center"/>
          </w:tcPr>
          <w:p w:rsidR="004328DC" w:rsidRDefault="004328DC" w:rsidP="002152D6">
            <w:pPr>
              <w:jc w:val="center"/>
            </w:pP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C33497" w:rsidRDefault="004328DC" w:rsidP="0006559F">
            <w:pPr>
              <w:rPr>
                <w:rFonts w:cstheme="minorHAnsi"/>
                <w:b/>
              </w:rPr>
            </w:pPr>
            <w:r w:rsidRPr="005B63E3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</w:rPr>
              <w:t xml:space="preserve">. W.5   </w:t>
            </w:r>
            <w:r w:rsidRPr="005B63E3">
              <w:rPr>
                <w:rFonts w:ascii="Calibri" w:eastAsia="Times New Roman" w:hAnsi="Calibri" w:cs="Times New Roman"/>
              </w:rPr>
              <w:t xml:space="preserve">With guidance and support from adults and peers, focus on a topic and strengthen writing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as needed</w:t>
            </w:r>
            <w:r w:rsidRPr="005B63E3">
              <w:rPr>
                <w:rFonts w:ascii="Calibri" w:eastAsia="Times New Roman" w:hAnsi="Calibri" w:cs="Times New Roman"/>
              </w:rPr>
              <w:t xml:space="preserve"> by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revising and editing</w:t>
            </w:r>
            <w:r w:rsidRPr="005B63E3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</w:tr>
      <w:tr w:rsidR="00B240D4" w:rsidTr="004328DC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W.6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4328DC">
              <w:rPr>
                <w:rFonts w:ascii="Calibri" w:eastAsia="Times New Roman" w:hAnsi="Calibri" w:cs="Arial"/>
              </w:rPr>
              <w:t>With guidance and support from adults, use a variety of digital tools to produce and publish writing, including in collaboration with peers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</w:tr>
      <w:tr w:rsidR="00B240D4" w:rsidTr="006E0BDF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Calibri" w:hAnsi="Calibri" w:cs="Calibri"/>
              </w:rPr>
            </w:pPr>
            <w:r w:rsidRPr="004328DC">
              <w:rPr>
                <w:rFonts w:ascii="Calibri" w:eastAsia="Times New Roman" w:hAnsi="Calibri" w:cs="Arial"/>
              </w:rPr>
              <w:t>2. W.7</w:t>
            </w:r>
            <w:r w:rsidRPr="004328DC">
              <w:rPr>
                <w:rFonts w:ascii="Calibri" w:eastAsia="Times New Roman" w:hAnsi="Calibri" w:cs="Arial"/>
              </w:rPr>
              <w:tab/>
              <w:t>Participate in shared research and writing projects (e.g., read a number of books on a single topic to produce a report; record science observations).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5054B" w:rsidP="0006559F">
            <w:proofErr w:type="gramStart"/>
            <w:r w:rsidRPr="00293AC1">
              <w:rPr>
                <w:rFonts w:ascii="Calibri" w:eastAsia="Calibri" w:hAnsi="Calibri" w:cs="Calibri"/>
              </w:rPr>
              <w:t>2.W.8</w:t>
            </w:r>
            <w:proofErr w:type="gramEnd"/>
            <w:r w:rsidRPr="00293AC1">
              <w:rPr>
                <w:rFonts w:ascii="Calibri" w:eastAsia="Calibri" w:hAnsi="Calibri" w:cs="Calibri"/>
              </w:rPr>
              <w:tab/>
              <w:t>Recall information from experiences or gather information from provided sources to answer a question</w:t>
            </w:r>
            <w:r w:rsidR="006E0BD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5054B" w:rsidTr="004641FD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2.W.9 Begins in 4th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06559F"/>
        </w:tc>
      </w:tr>
      <w:tr w:rsidR="00B5054B" w:rsidTr="00D4104A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2.W.10 Begins in 3rd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312704">
            <w:pPr>
              <w:jc w:val="center"/>
            </w:pPr>
          </w:p>
        </w:tc>
      </w:tr>
    </w:tbl>
    <w:p w:rsidR="00312704" w:rsidRDefault="00312704" w:rsidP="0006559F"/>
    <w:p w:rsidR="00E61104" w:rsidRDefault="00E61104" w:rsidP="0006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560"/>
        <w:gridCol w:w="1170"/>
        <w:gridCol w:w="1170"/>
        <w:gridCol w:w="1170"/>
        <w:gridCol w:w="1170"/>
        <w:gridCol w:w="1350"/>
      </w:tblGrid>
      <w:tr w:rsidR="00B240D4" w:rsidTr="00D538A6">
        <w:tc>
          <w:tcPr>
            <w:tcW w:w="1008" w:type="dxa"/>
            <w:tcBorders>
              <w:bottom w:val="single" w:sz="4" w:space="0" w:color="auto"/>
            </w:tcBorders>
          </w:tcPr>
          <w:p w:rsidR="00B240D4" w:rsidRDefault="00B240D4" w:rsidP="001865DA"/>
        </w:tc>
        <w:tc>
          <w:tcPr>
            <w:tcW w:w="7560" w:type="dxa"/>
            <w:tcBorders>
              <w:bottom w:val="single" w:sz="4" w:space="0" w:color="auto"/>
            </w:tcBorders>
          </w:tcPr>
          <w:p w:rsidR="00B240D4" w:rsidRPr="00386840" w:rsidRDefault="00B240D4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2152D6">
        <w:tc>
          <w:tcPr>
            <w:tcW w:w="1008" w:type="dxa"/>
            <w:vMerge w:val="restart"/>
            <w:shd w:val="pct25" w:color="auto" w:fill="auto"/>
            <w:textDirection w:val="btLr"/>
            <w:vAlign w:val="center"/>
          </w:tcPr>
          <w:p w:rsidR="00B240D4" w:rsidRDefault="00B240D4" w:rsidP="001865DA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rPr>
                <w:rFonts w:ascii="Calibri" w:eastAsia="Times New Roman" w:hAnsi="Calibri" w:cs="Arial"/>
                <w:highlight w:val="yellow"/>
              </w:rPr>
              <w:t xml:space="preserve">℗2.L.1 </w:t>
            </w:r>
            <w:r w:rsidRPr="005B63E3">
              <w:rPr>
                <w:rFonts w:ascii="Calibri" w:eastAsia="Times New Roman" w:hAnsi="Calibri" w:cs="Times New Roman"/>
                <w:highlight w:val="yellow"/>
              </w:rPr>
              <w:t xml:space="preserve">Demonstrate command of the conventions of standard English grammar and usage when writing or speaking.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Pr="00312704" w:rsidRDefault="00B5054B" w:rsidP="00312704">
            <w:pPr>
              <w:tabs>
                <w:tab w:val="left" w:pos="9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  <w:highlight w:val="yellow"/>
              </w:rPr>
              <w:t>℗2.L.2 D</w:t>
            </w:r>
            <w:r w:rsidRPr="005B63E3">
              <w:rPr>
                <w:rFonts w:ascii="Calibri" w:eastAsia="Times New Roman" w:hAnsi="Calibri" w:cs="Times New Roman"/>
                <w:iCs/>
                <w:highlight w:val="yellow"/>
              </w:rPr>
              <w:t>emonstrate command of the conventions of standard English capitalization, punctuation, and spelling when writing.</w:t>
            </w:r>
            <w:r>
              <w:rPr>
                <w:rFonts w:ascii="Calibri" w:eastAsia="Times New Roman" w:hAnsi="Calibri" w:cs="Times New Roman"/>
                <w:iCs/>
              </w:rPr>
              <w:t xml:space="preserve">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312704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t>2. L.3 Use knowledge of language and its conventions when writing, speaking, reading, or listening.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℗2.L.4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Determine or clarify the meaning of unknown and multiple-meaning words and phrases based on</w:t>
            </w:r>
            <w:r w:rsidRPr="00293AC1">
              <w:rPr>
                <w:rFonts w:ascii="Calibri" w:eastAsia="Times New Roman" w:hAnsi="Calibri" w:cs="Arial"/>
                <w:i/>
                <w:color w:val="000000"/>
                <w:highlight w:val="yellow"/>
              </w:rPr>
              <w:t xml:space="preserve"> grade 2 reading and content, </w:t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choosing flexibly from an array of strategies.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240D4" w:rsidP="00312704">
            <w:pPr>
              <w:jc w:val="center"/>
            </w:pPr>
          </w:p>
        </w:tc>
      </w:tr>
      <w:tr w:rsidR="00B240D4" w:rsidTr="00B5054B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>2.L.5 Demonstrate understanding of word relationships and nuances in word meanings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B5054B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756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5054B" w:rsidP="001865DA">
            <w:r w:rsidRPr="00B5054B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 xml:space="preserve">2.L.6 Use words and phrases acquired through </w:t>
            </w:r>
            <w:r w:rsidR="006E0BDF" w:rsidRPr="00B5054B">
              <w:rPr>
                <w:highlight w:val="yellow"/>
              </w:rPr>
              <w:t>conversations,</w:t>
            </w:r>
            <w:r w:rsidRPr="00B5054B">
              <w:rPr>
                <w:highlight w:val="yellow"/>
              </w:rPr>
              <w:t xml:space="preserve"> reading and being read to, and responding to texts, including adjectives and adverbs to describe (e.g. </w:t>
            </w:r>
            <w:r w:rsidRPr="00B5054B">
              <w:rPr>
                <w:i/>
                <w:highlight w:val="yellow"/>
              </w:rPr>
              <w:t>When other kids are happy that makes me happy</w:t>
            </w:r>
            <w:r w:rsidRPr="00B5054B">
              <w:rPr>
                <w:highlight w:val="yellow"/>
              </w:rPr>
              <w:t>).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35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 w:val="restart"/>
            <w:shd w:val="pct3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Speaking and Listening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6E0BDF" w:rsidP="00B240D4">
            <w:r>
              <w:rPr>
                <w:rFonts w:ascii="Calibri" w:eastAsia="Times New Roman" w:hAnsi="Calibri" w:cs="Arial"/>
                <w:highlight w:val="yellow"/>
              </w:rPr>
              <w:t>℗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2.SL.1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Participate in collaborative conversations with diverse partners about </w:t>
            </w:r>
            <w:r w:rsidRPr="00D10A35">
              <w:rPr>
                <w:rFonts w:ascii="Calibri" w:eastAsia="Times New Roman" w:hAnsi="Calibri" w:cs="Arial"/>
                <w:i/>
                <w:highlight w:val="yellow"/>
              </w:rPr>
              <w:t>grade 2 topics and texts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 with peers and adults in small and larger groups</w:t>
            </w:r>
            <w:r>
              <w:rPr>
                <w:rFonts w:ascii="Calibri" w:eastAsia="Times New Roman" w:hAnsi="Calibri" w:cs="Arial"/>
              </w:rPr>
              <w:t xml:space="preserve">.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350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6E0BDF">
            <w:pPr>
              <w:rPr>
                <w:rFonts w:ascii="Calibri" w:eastAsia="Calibri" w:hAnsi="Calibri" w:cs="Calibri"/>
              </w:rPr>
            </w:pPr>
            <w:r w:rsidRPr="006E0BDF">
              <w:t>2. SL.2</w:t>
            </w:r>
            <w:r w:rsidRPr="006E0BDF">
              <w:tab/>
              <w:t>Recount or describe key ideas or details from a text read aloud or information presented orally or through other media.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>
              <w:rPr>
                <w:rFonts w:ascii="Calibri" w:eastAsia="Times New Roman" w:hAnsi="Calibri" w:cs="Arial"/>
              </w:rPr>
              <w:t>2. SL.3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3A3B81">
              <w:rPr>
                <w:rFonts w:ascii="Calibri" w:eastAsia="Times New Roman" w:hAnsi="Calibri" w:cs="MyriadNC-Bold"/>
                <w:color w:val="000000"/>
              </w:rPr>
              <w:t>Ask and answer questions about what a speaker says in order to clarify comprehension, gather additional information, or deepen understanding of a topic or issue</w:t>
            </w:r>
            <w:r w:rsidRPr="003A3B81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6E0BDF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Calibri" w:hAnsi="Calibri" w:cs="Calibri"/>
              </w:rPr>
              <w:t>2. SL.4</w:t>
            </w:r>
            <w:r w:rsidRPr="00293AC1">
              <w:rPr>
                <w:rFonts w:ascii="Calibri" w:eastAsia="Calibri" w:hAnsi="Calibri" w:cs="Calibri"/>
              </w:rPr>
              <w:tab/>
              <w:t>Tell a story or recount an experience with appropriate facts and relevant, descriptive details, speaking audibly in coherent sentences.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386840">
            <w:pPr>
              <w:jc w:val="center"/>
            </w:pP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Times New Roman" w:hAnsi="Calibri" w:cs="Arial"/>
              </w:rPr>
              <w:t>2. SL.5</w:t>
            </w:r>
            <w:r w:rsidRPr="00293AC1">
              <w:rPr>
                <w:rFonts w:ascii="Calibri" w:eastAsia="Times New Roman" w:hAnsi="Calibri" w:cs="Arial"/>
              </w:rPr>
              <w:tab/>
            </w:r>
            <w:r w:rsidRPr="00293AC1">
              <w:rPr>
                <w:rFonts w:ascii="Calibri" w:eastAsia="Times New Roman" w:hAnsi="Calibri" w:cs="MyriadNC-Bold"/>
                <w:color w:val="000000"/>
              </w:rPr>
              <w:t>Create audio recordings of stories or poems; add drawings or other visual displays to stories or recounts of experiences when appropriate to clarify ideas, thoughts, and feelings.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1865DA">
            <w:pPr>
              <w:rPr>
                <w:rFonts w:ascii="Calibri" w:eastAsia="Times New Roman" w:hAnsi="Calibri" w:cs="Arial"/>
                <w:highlight w:val="yellow"/>
              </w:rPr>
            </w:pPr>
            <w:r w:rsidRPr="005B63E3">
              <w:rPr>
                <w:rFonts w:ascii="Calibri" w:eastAsia="Times New Roman" w:hAnsi="Calibri" w:cs="Arial"/>
                <w:highlight w:val="yellow"/>
              </w:rPr>
              <w:t>℗2.SL.6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>Produce complete sentences when appropriate to task and situation in order to provide requested detail or clarification. (See grade 2 Language standards 1 and 3 for specific expectations.)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</w:tbl>
    <w:p w:rsidR="00B240D4" w:rsidRDefault="00B240D4" w:rsidP="0006559F"/>
    <w:sectPr w:rsidR="00B240D4" w:rsidSect="0076007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NC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1D"/>
    <w:multiLevelType w:val="hybridMultilevel"/>
    <w:tmpl w:val="4FB6507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6862CF"/>
    <w:multiLevelType w:val="hybridMultilevel"/>
    <w:tmpl w:val="9CFAA88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5796DF9"/>
    <w:multiLevelType w:val="hybridMultilevel"/>
    <w:tmpl w:val="95184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72F3E"/>
    <w:multiLevelType w:val="hybridMultilevel"/>
    <w:tmpl w:val="44F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597"/>
    <w:multiLevelType w:val="hybridMultilevel"/>
    <w:tmpl w:val="2724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2F7"/>
    <w:multiLevelType w:val="hybridMultilevel"/>
    <w:tmpl w:val="406E25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1455CA2"/>
    <w:multiLevelType w:val="hybridMultilevel"/>
    <w:tmpl w:val="FA42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4D8"/>
    <w:multiLevelType w:val="hybridMultilevel"/>
    <w:tmpl w:val="BD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3D0"/>
    <w:multiLevelType w:val="hybridMultilevel"/>
    <w:tmpl w:val="E72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048"/>
    <w:multiLevelType w:val="hybridMultilevel"/>
    <w:tmpl w:val="F29C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C"/>
    <w:rsid w:val="00016508"/>
    <w:rsid w:val="000216A9"/>
    <w:rsid w:val="00061137"/>
    <w:rsid w:val="0006559F"/>
    <w:rsid w:val="000E09F6"/>
    <w:rsid w:val="00125AC5"/>
    <w:rsid w:val="00126469"/>
    <w:rsid w:val="00153D00"/>
    <w:rsid w:val="00166CAB"/>
    <w:rsid w:val="001C5E4C"/>
    <w:rsid w:val="001E406B"/>
    <w:rsid w:val="002152D6"/>
    <w:rsid w:val="00216124"/>
    <w:rsid w:val="002528EB"/>
    <w:rsid w:val="002608DB"/>
    <w:rsid w:val="00264CC1"/>
    <w:rsid w:val="00312704"/>
    <w:rsid w:val="00386840"/>
    <w:rsid w:val="003A5170"/>
    <w:rsid w:val="00431C79"/>
    <w:rsid w:val="004328DC"/>
    <w:rsid w:val="004F1F2D"/>
    <w:rsid w:val="005C10EC"/>
    <w:rsid w:val="005F01A3"/>
    <w:rsid w:val="005F73D3"/>
    <w:rsid w:val="0065442D"/>
    <w:rsid w:val="006C6B22"/>
    <w:rsid w:val="006E0BDF"/>
    <w:rsid w:val="006E212E"/>
    <w:rsid w:val="00701DD6"/>
    <w:rsid w:val="00737885"/>
    <w:rsid w:val="00751008"/>
    <w:rsid w:val="0076007E"/>
    <w:rsid w:val="007B62D9"/>
    <w:rsid w:val="00817096"/>
    <w:rsid w:val="00845C7F"/>
    <w:rsid w:val="00883BD1"/>
    <w:rsid w:val="00884286"/>
    <w:rsid w:val="00924CDF"/>
    <w:rsid w:val="00943315"/>
    <w:rsid w:val="009C4EC9"/>
    <w:rsid w:val="009F2D06"/>
    <w:rsid w:val="00A47224"/>
    <w:rsid w:val="00B240D4"/>
    <w:rsid w:val="00B5054B"/>
    <w:rsid w:val="00B948A8"/>
    <w:rsid w:val="00BA31EB"/>
    <w:rsid w:val="00BA5C95"/>
    <w:rsid w:val="00BC61C9"/>
    <w:rsid w:val="00C33497"/>
    <w:rsid w:val="00D538A6"/>
    <w:rsid w:val="00DD4209"/>
    <w:rsid w:val="00DD45C5"/>
    <w:rsid w:val="00E61104"/>
    <w:rsid w:val="00E63F21"/>
    <w:rsid w:val="00E6571D"/>
    <w:rsid w:val="00E7654D"/>
    <w:rsid w:val="00E76D09"/>
    <w:rsid w:val="00ED549A"/>
    <w:rsid w:val="00F31652"/>
    <w:rsid w:val="00F47D94"/>
    <w:rsid w:val="00F80840"/>
    <w:rsid w:val="00F811D4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dcterms:created xsi:type="dcterms:W3CDTF">2015-09-08T01:44:00Z</dcterms:created>
  <dcterms:modified xsi:type="dcterms:W3CDTF">2015-09-08T01:44:00Z</dcterms:modified>
</cp:coreProperties>
</file>